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E51" w:rsidRPr="00610E51" w:rsidRDefault="00610E51" w:rsidP="00610E51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10E51">
        <w:rPr>
          <w:rFonts w:asciiTheme="majorBidi" w:hAnsiTheme="majorBidi" w:cstheme="majorBidi"/>
          <w:b/>
          <w:bCs/>
          <w:sz w:val="24"/>
          <w:szCs w:val="24"/>
        </w:rPr>
        <w:t xml:space="preserve">Faculté de médecine de Constantine </w:t>
      </w:r>
      <w:r w:rsidRPr="00610E51">
        <w:rPr>
          <w:rFonts w:asciiTheme="majorBidi" w:hAnsiTheme="majorBidi" w:cstheme="majorBidi"/>
          <w:sz w:val="24"/>
          <w:szCs w:val="24"/>
        </w:rPr>
        <w:t xml:space="preserve">- </w:t>
      </w:r>
      <w:r w:rsidR="008C1001">
        <w:rPr>
          <w:rFonts w:asciiTheme="majorBidi" w:hAnsiTheme="majorBidi" w:cstheme="majorBidi"/>
          <w:b/>
          <w:bCs/>
          <w:sz w:val="24"/>
          <w:szCs w:val="24"/>
        </w:rPr>
        <w:t>Année universitaire : 2021/2022</w:t>
      </w:r>
      <w:bookmarkStart w:id="0" w:name="_GoBack"/>
      <w:bookmarkEnd w:id="0"/>
    </w:p>
    <w:p w:rsidR="00610E51" w:rsidRPr="00610E51" w:rsidRDefault="00610E51" w:rsidP="00610E51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10E51">
        <w:rPr>
          <w:rFonts w:asciiTheme="majorBidi" w:hAnsiTheme="majorBidi" w:cstheme="majorBidi"/>
          <w:b/>
          <w:bCs/>
          <w:sz w:val="24"/>
          <w:szCs w:val="24"/>
        </w:rPr>
        <w:t>Département de pharmacie</w:t>
      </w:r>
    </w:p>
    <w:p w:rsidR="00610E51" w:rsidRPr="00610E51" w:rsidRDefault="00610E51" w:rsidP="00610E51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10E51">
        <w:rPr>
          <w:rFonts w:asciiTheme="majorBidi" w:hAnsiTheme="majorBidi" w:cstheme="majorBidi"/>
          <w:b/>
          <w:bCs/>
          <w:sz w:val="24"/>
          <w:szCs w:val="24"/>
        </w:rPr>
        <w:t>Cours de microbiologie de 4</w:t>
      </w:r>
      <w:r w:rsidRPr="00610E5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ème</w:t>
      </w:r>
      <w:r w:rsidRPr="00610E51">
        <w:rPr>
          <w:rFonts w:asciiTheme="majorBidi" w:hAnsiTheme="majorBidi" w:cstheme="majorBidi"/>
          <w:b/>
          <w:bCs/>
          <w:sz w:val="24"/>
          <w:szCs w:val="24"/>
        </w:rPr>
        <w:t xml:space="preserve"> année pharmacie</w:t>
      </w:r>
    </w:p>
    <w:p w:rsidR="00610E51" w:rsidRPr="00610E51" w:rsidRDefault="00610E51" w:rsidP="00610E51">
      <w:pPr>
        <w:spacing w:line="254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10E51">
        <w:rPr>
          <w:rFonts w:asciiTheme="majorBidi" w:hAnsiTheme="majorBidi" w:cstheme="majorBidi"/>
          <w:b/>
          <w:bCs/>
          <w:sz w:val="24"/>
          <w:szCs w:val="24"/>
        </w:rPr>
        <w:t>Dr N. MEKHOUKH</w:t>
      </w:r>
    </w:p>
    <w:p w:rsidR="00610E51" w:rsidRPr="00610E51" w:rsidRDefault="00610E51" w:rsidP="00610E51">
      <w:pPr>
        <w:spacing w:line="276" w:lineRule="auto"/>
        <w:ind w:left="720"/>
        <w:jc w:val="center"/>
        <w:rPr>
          <w:rFonts w:asciiTheme="majorBidi" w:hAnsiTheme="majorBidi" w:cstheme="majorBidi"/>
          <w:sz w:val="32"/>
          <w:szCs w:val="32"/>
          <w:u w:val="single"/>
        </w:rPr>
      </w:pPr>
      <w:r w:rsidRPr="00610E51">
        <w:rPr>
          <w:rFonts w:asciiTheme="majorBidi" w:hAnsiTheme="majorBidi" w:cstheme="majorBidi"/>
          <w:b/>
          <w:bCs/>
          <w:sz w:val="32"/>
          <w:szCs w:val="32"/>
          <w:u w:val="single"/>
        </w:rPr>
        <w:t>MALADIES BACTERIENNES TRANSMISSIBLES PAR VECTEURS</w:t>
      </w:r>
    </w:p>
    <w:p w:rsidR="00610E51" w:rsidRPr="00610E51" w:rsidRDefault="00610E51" w:rsidP="00610E5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610E51">
        <w:rPr>
          <w:rFonts w:asciiTheme="majorBidi" w:hAnsiTheme="majorBidi" w:cstheme="majorBidi"/>
          <w:b/>
          <w:bCs/>
          <w:sz w:val="28"/>
          <w:szCs w:val="28"/>
          <w:u w:val="single"/>
        </w:rPr>
        <w:t>Définition-généralités :</w:t>
      </w:r>
    </w:p>
    <w:p w:rsidR="00610E51" w:rsidRPr="00610E51" w:rsidRDefault="00610E51" w:rsidP="00610E51">
      <w:pPr>
        <w:rPr>
          <w:rFonts w:asciiTheme="majorBidi" w:hAnsiTheme="majorBidi" w:cstheme="majorBidi"/>
          <w:sz w:val="24"/>
          <w:szCs w:val="24"/>
        </w:rPr>
      </w:pPr>
      <w:r w:rsidRPr="00610E51">
        <w:rPr>
          <w:rFonts w:asciiTheme="majorBidi" w:hAnsiTheme="majorBidi" w:cstheme="majorBidi"/>
          <w:b/>
          <w:bCs/>
          <w:sz w:val="24"/>
          <w:szCs w:val="24"/>
        </w:rPr>
        <w:t xml:space="preserve">Les maladies à transmission vectorielle </w:t>
      </w:r>
      <w:r w:rsidRPr="00610E51">
        <w:rPr>
          <w:rFonts w:asciiTheme="majorBidi" w:hAnsiTheme="majorBidi" w:cstheme="majorBidi"/>
          <w:sz w:val="24"/>
          <w:szCs w:val="24"/>
        </w:rPr>
        <w:t xml:space="preserve">sont des maladies infectieuses transmises par </w:t>
      </w:r>
      <w:r w:rsidRPr="00610E51">
        <w:rPr>
          <w:rFonts w:asciiTheme="majorBidi" w:hAnsiTheme="majorBidi" w:cstheme="majorBidi"/>
          <w:sz w:val="24"/>
          <w:szCs w:val="24"/>
          <w:u w:val="single"/>
        </w:rPr>
        <w:t>des vecteurs</w:t>
      </w:r>
      <w:r w:rsidRPr="00610E51">
        <w:rPr>
          <w:rFonts w:asciiTheme="majorBidi" w:hAnsiTheme="majorBidi" w:cstheme="majorBidi"/>
          <w:sz w:val="24"/>
          <w:szCs w:val="24"/>
        </w:rPr>
        <w:t xml:space="preserve">. Ces vecteurs sont des </w:t>
      </w:r>
      <w:r w:rsidRPr="00610E51">
        <w:rPr>
          <w:rFonts w:asciiTheme="majorBidi" w:hAnsiTheme="majorBidi" w:cstheme="majorBidi"/>
          <w:sz w:val="24"/>
          <w:szCs w:val="24"/>
          <w:u w:val="single"/>
        </w:rPr>
        <w:t xml:space="preserve">arthropodes hématophages </w:t>
      </w:r>
      <w:r w:rsidRPr="00610E51">
        <w:rPr>
          <w:rFonts w:asciiTheme="majorBidi" w:hAnsiTheme="majorBidi" w:cstheme="majorBidi"/>
          <w:sz w:val="24"/>
          <w:szCs w:val="24"/>
        </w:rPr>
        <w:t xml:space="preserve">qui assurent une transmission biologique active d’un agent infectieux d’un vertébré vers un autre vertébré. Il s’agit essentiellement d’insectes et d’acariens hématophages.  </w:t>
      </w:r>
    </w:p>
    <w:p w:rsidR="00610E51" w:rsidRPr="00610E51" w:rsidRDefault="00610E51" w:rsidP="00610E51">
      <w:pPr>
        <w:rPr>
          <w:rFonts w:asciiTheme="majorBidi" w:hAnsiTheme="majorBidi" w:cstheme="majorBidi"/>
          <w:sz w:val="24"/>
          <w:szCs w:val="24"/>
        </w:rPr>
      </w:pPr>
      <w:r w:rsidRPr="00610E51">
        <w:rPr>
          <w:rFonts w:asciiTheme="majorBidi" w:hAnsiTheme="majorBidi" w:cstheme="majorBidi"/>
          <w:sz w:val="24"/>
          <w:szCs w:val="24"/>
        </w:rPr>
        <w:t xml:space="preserve">Ils transmettent des maladies : </w:t>
      </w:r>
    </w:p>
    <w:p w:rsidR="0072682B" w:rsidRPr="00610E51" w:rsidRDefault="00933E06" w:rsidP="00610E51">
      <w:pPr>
        <w:numPr>
          <w:ilvl w:val="1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610E51">
        <w:rPr>
          <w:rFonts w:asciiTheme="majorBidi" w:hAnsiTheme="majorBidi" w:cstheme="majorBidi"/>
          <w:sz w:val="24"/>
          <w:szCs w:val="24"/>
        </w:rPr>
        <w:t>parasitaires (comme le paludisme) ;</w:t>
      </w:r>
    </w:p>
    <w:p w:rsidR="0072682B" w:rsidRPr="00610E51" w:rsidRDefault="00933E06" w:rsidP="00610E51">
      <w:pPr>
        <w:numPr>
          <w:ilvl w:val="1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610E51">
        <w:rPr>
          <w:rFonts w:asciiTheme="majorBidi" w:hAnsiTheme="majorBidi" w:cstheme="majorBidi"/>
          <w:sz w:val="24"/>
          <w:szCs w:val="24"/>
        </w:rPr>
        <w:t xml:space="preserve">bactériennes (comme la borréliose de </w:t>
      </w:r>
      <w:proofErr w:type="spellStart"/>
      <w:r w:rsidRPr="00610E51">
        <w:rPr>
          <w:rFonts w:asciiTheme="majorBidi" w:hAnsiTheme="majorBidi" w:cstheme="majorBidi"/>
          <w:sz w:val="24"/>
          <w:szCs w:val="24"/>
        </w:rPr>
        <w:t>Lyme</w:t>
      </w:r>
      <w:proofErr w:type="spellEnd"/>
      <w:r w:rsidRPr="00610E51">
        <w:rPr>
          <w:rFonts w:asciiTheme="majorBidi" w:hAnsiTheme="majorBidi" w:cstheme="majorBidi"/>
          <w:sz w:val="24"/>
          <w:szCs w:val="24"/>
        </w:rPr>
        <w:t>, les rickettsioses, la peste) ;</w:t>
      </w:r>
    </w:p>
    <w:p w:rsidR="0072682B" w:rsidRPr="00610E51" w:rsidRDefault="00933E06" w:rsidP="00610E51">
      <w:pPr>
        <w:numPr>
          <w:ilvl w:val="1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610E51">
        <w:rPr>
          <w:rFonts w:asciiTheme="majorBidi" w:hAnsiTheme="majorBidi" w:cstheme="majorBidi"/>
          <w:sz w:val="24"/>
          <w:szCs w:val="24"/>
        </w:rPr>
        <w:t xml:space="preserve">ou virales (telles que la dengue, le </w:t>
      </w:r>
      <w:proofErr w:type="spellStart"/>
      <w:r w:rsidRPr="00610E51">
        <w:rPr>
          <w:rFonts w:asciiTheme="majorBidi" w:hAnsiTheme="majorBidi" w:cstheme="majorBidi"/>
          <w:sz w:val="24"/>
          <w:szCs w:val="24"/>
        </w:rPr>
        <w:t>chikungunya</w:t>
      </w:r>
      <w:proofErr w:type="spellEnd"/>
      <w:r w:rsidRPr="00610E51">
        <w:rPr>
          <w:rFonts w:asciiTheme="majorBidi" w:hAnsiTheme="majorBidi" w:cstheme="majorBidi"/>
          <w:sz w:val="24"/>
          <w:szCs w:val="24"/>
        </w:rPr>
        <w:t xml:space="preserve"> et le West Nile)  </w:t>
      </w:r>
    </w:p>
    <w:p w:rsidR="00610E51" w:rsidRPr="00610E51" w:rsidRDefault="00610E51" w:rsidP="00610E51">
      <w:pPr>
        <w:rPr>
          <w:rFonts w:asciiTheme="majorBidi" w:hAnsiTheme="majorBidi" w:cstheme="majorBidi"/>
          <w:sz w:val="24"/>
          <w:szCs w:val="24"/>
        </w:rPr>
      </w:pPr>
      <w:r w:rsidRPr="00610E51">
        <w:rPr>
          <w:rFonts w:asciiTheme="majorBidi" w:hAnsiTheme="majorBidi" w:cstheme="majorBidi"/>
          <w:sz w:val="24"/>
          <w:szCs w:val="24"/>
        </w:rPr>
        <w:t>Bon nombre des maladies vectorielles sont des zoonoses, touchant l’homme et les animaux (fièvre jaune, peste, leishmanioses), d’autres sont strictement humaines (paludisme, dengue).</w:t>
      </w:r>
    </w:p>
    <w:p w:rsidR="00610E51" w:rsidRPr="00610E51" w:rsidRDefault="00610E51" w:rsidP="00610E5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Classification des arthropodes :</w:t>
      </w:r>
    </w:p>
    <w:p w:rsidR="00610E51" w:rsidRDefault="00610E51" w:rsidP="00610E51">
      <w:pPr>
        <w:pStyle w:val="Paragraphedeliste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10E51" w:rsidRPr="00610E51" w:rsidRDefault="00610E51" w:rsidP="00610E51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51CA496B" wp14:editId="586F6071">
            <wp:extent cx="4895215" cy="286388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40" cy="287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E51" w:rsidRDefault="00610E51" w:rsidP="00610E5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10E51" w:rsidRDefault="00610E51" w:rsidP="00610E5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10E51" w:rsidRDefault="00610E51" w:rsidP="00610E5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10E51" w:rsidRDefault="00610E51" w:rsidP="00610E5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10E51" w:rsidRDefault="00610E51" w:rsidP="00610E5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10E51" w:rsidRDefault="00610E51" w:rsidP="00610E5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10E51" w:rsidRPr="00610E51" w:rsidRDefault="00610E51" w:rsidP="00610E5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10E51">
        <w:rPr>
          <w:rFonts w:asciiTheme="majorBidi" w:hAnsiTheme="majorBidi" w:cstheme="majorBidi"/>
          <w:b/>
          <w:bCs/>
          <w:sz w:val="32"/>
          <w:szCs w:val="32"/>
          <w:u w:val="single"/>
        </w:rPr>
        <w:t>Insectes non ailés</w:t>
      </w:r>
    </w:p>
    <w:p w:rsidR="00610E51" w:rsidRPr="00610E51" w:rsidRDefault="00610E51" w:rsidP="00610E5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25DC5A53">
            <wp:extent cx="2011680" cy="1800999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25" cy="181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6F684E44">
            <wp:extent cx="2106295" cy="1792063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95" cy="180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7223F205">
            <wp:extent cx="2028825" cy="179023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60" cy="18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E51" w:rsidRDefault="00610E51" w:rsidP="00C0732D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0732D">
        <w:rPr>
          <w:rFonts w:asciiTheme="majorBidi" w:hAnsiTheme="majorBidi" w:cstheme="majorBidi"/>
          <w:b/>
          <w:bCs/>
          <w:sz w:val="32"/>
          <w:szCs w:val="32"/>
          <w:u w:val="single"/>
        </w:rPr>
        <w:t>Tiques</w:t>
      </w:r>
    </w:p>
    <w:p w:rsidR="00C0732D" w:rsidRDefault="00C0732D" w:rsidP="00C0732D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0732D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 wp14:anchorId="6B1A604E">
            <wp:extent cx="4529388" cy="20859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84" cy="209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32D" w:rsidRDefault="00C0732D" w:rsidP="00C0732D">
      <w:pPr>
        <w:pStyle w:val="NormalWeb"/>
        <w:spacing w:before="0" w:beforeAutospacing="0" w:after="0" w:afterAutospacing="0"/>
        <w:jc w:val="center"/>
        <w:rPr>
          <w:rFonts w:asciiTheme="majorBidi" w:eastAsiaTheme="minorEastAsia" w:hAnsiTheme="majorBidi" w:cstheme="majorBidi"/>
          <w:b/>
          <w:bCs/>
          <w:color w:val="0070C0"/>
          <w:kern w:val="24"/>
          <w:sz w:val="32"/>
          <w:szCs w:val="32"/>
          <w:u w:val="single"/>
        </w:rPr>
      </w:pPr>
      <w:proofErr w:type="spellStart"/>
      <w:r w:rsidRPr="00C0732D">
        <w:rPr>
          <w:rFonts w:asciiTheme="majorBidi" w:eastAsiaTheme="minorEastAsia" w:hAnsiTheme="majorBidi" w:cstheme="majorBidi"/>
          <w:b/>
          <w:bCs/>
          <w:kern w:val="24"/>
          <w:sz w:val="32"/>
          <w:szCs w:val="32"/>
          <w:u w:val="single"/>
        </w:rPr>
        <w:t>Trombiculidés</w:t>
      </w:r>
      <w:proofErr w:type="spellEnd"/>
      <w:r w:rsidRPr="00C0732D">
        <w:rPr>
          <w:rFonts w:asciiTheme="majorBidi" w:eastAsiaTheme="minorEastAsia" w:hAnsiTheme="majorBidi" w:cstheme="majorBidi"/>
          <w:b/>
          <w:bCs/>
          <w:kern w:val="24"/>
          <w:sz w:val="32"/>
          <w:szCs w:val="32"/>
          <w:u w:val="single"/>
        </w:rPr>
        <w:t xml:space="preserve"> </w:t>
      </w:r>
      <w:r w:rsidRPr="00C0732D">
        <w:rPr>
          <w:rFonts w:asciiTheme="majorBidi" w:eastAsiaTheme="minorEastAsia" w:hAnsiTheme="majorBidi" w:cstheme="majorBidi"/>
          <w:b/>
          <w:bCs/>
          <w:color w:val="0070C0"/>
          <w:kern w:val="24"/>
          <w:sz w:val="32"/>
          <w:szCs w:val="32"/>
          <w:u w:val="single"/>
        </w:rPr>
        <w:t xml:space="preserve"> </w:t>
      </w:r>
    </w:p>
    <w:p w:rsidR="00C0732D" w:rsidRPr="00C0732D" w:rsidRDefault="00C0732D" w:rsidP="00C0732D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C0732D" w:rsidRDefault="00C0732D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  <w:r w:rsidRPr="00C0732D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60FF0E00">
            <wp:extent cx="2184336" cy="2028872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87" cy="203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EF6" w:rsidRDefault="00A16EF6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A16EF6" w:rsidRDefault="00A16EF6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A16EF6" w:rsidRDefault="00A16EF6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A16EF6" w:rsidRDefault="00A16EF6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A16EF6" w:rsidRDefault="00A16EF6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A16EF6" w:rsidRDefault="00A16EF6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A16EF6" w:rsidRPr="00C0732D" w:rsidRDefault="00A16EF6" w:rsidP="00C0732D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:rsidR="00610E51" w:rsidRPr="00354C1C" w:rsidRDefault="00610E51" w:rsidP="00610E5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610E5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Principales maladies bactériennes à transmission vectorielles </w:t>
      </w:r>
    </w:p>
    <w:p w:rsidR="00354C1C" w:rsidRPr="00610E51" w:rsidRDefault="00354C1C" w:rsidP="00354C1C">
      <w:pPr>
        <w:pStyle w:val="Paragraphedeliste"/>
        <w:rPr>
          <w:rFonts w:asciiTheme="majorBidi" w:hAnsiTheme="majorBidi" w:cstheme="majorBidi"/>
          <w:sz w:val="28"/>
          <w:szCs w:val="28"/>
          <w:u w:val="single"/>
        </w:rPr>
      </w:pPr>
    </w:p>
    <w:tbl>
      <w:tblPr>
        <w:tblStyle w:val="GridTable4Accent1"/>
        <w:tblW w:w="10343" w:type="dxa"/>
        <w:tblLook w:val="0420" w:firstRow="1" w:lastRow="0" w:firstColumn="0" w:lastColumn="0" w:noHBand="0" w:noVBand="1"/>
      </w:tblPr>
      <w:tblGrid>
        <w:gridCol w:w="1504"/>
        <w:gridCol w:w="1718"/>
        <w:gridCol w:w="3152"/>
        <w:gridCol w:w="3969"/>
      </w:tblGrid>
      <w:tr w:rsidR="005A066E" w:rsidRPr="005A066E" w:rsidTr="00A16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tcW w:w="3222" w:type="dxa"/>
            <w:gridSpan w:val="2"/>
            <w:hideMark/>
          </w:tcPr>
          <w:p w:rsidR="005A066E" w:rsidRPr="005A066E" w:rsidRDefault="005A066E" w:rsidP="005A066E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FFFFFF"/>
                <w:kern w:val="24"/>
                <w:sz w:val="24"/>
                <w:szCs w:val="24"/>
                <w:lang w:eastAsia="fr-FR"/>
              </w:rPr>
              <w:t xml:space="preserve">Vecteur </w:t>
            </w: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FFFFFF"/>
                <w:kern w:val="24"/>
                <w:sz w:val="24"/>
                <w:szCs w:val="24"/>
                <w:lang w:eastAsia="fr-FR"/>
              </w:rPr>
              <w:t xml:space="preserve">Agent pathogène </w:t>
            </w:r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FFFFFF"/>
                <w:kern w:val="24"/>
                <w:sz w:val="24"/>
                <w:szCs w:val="24"/>
                <w:lang w:eastAsia="fr-FR"/>
              </w:rPr>
              <w:t xml:space="preserve">Maladies </w:t>
            </w:r>
          </w:p>
        </w:tc>
      </w:tr>
      <w:tr w:rsidR="00A16EF6" w:rsidRPr="005A066E" w:rsidTr="00A16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tcW w:w="1504" w:type="dxa"/>
            <w:vMerge w:val="restart"/>
            <w:hideMark/>
          </w:tcPr>
          <w:p w:rsidR="005A066E" w:rsidRPr="005A066E" w:rsidRDefault="005A066E" w:rsidP="005A066E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 xml:space="preserve">Insectes non ailés </w:t>
            </w:r>
          </w:p>
        </w:tc>
        <w:tc>
          <w:tcPr>
            <w:tcW w:w="1718" w:type="dxa"/>
            <w:vMerge w:val="restart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 xml:space="preserve">Poux </w:t>
            </w: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Rickettsia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prowasekii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Typhus exanthématique</w:t>
            </w:r>
          </w:p>
        </w:tc>
      </w:tr>
      <w:tr w:rsidR="005A066E" w:rsidRPr="005A066E" w:rsidTr="00A16EF6">
        <w:trPr>
          <w:trHeight w:val="416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Bartonella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quintana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Fièvre des tranchées</w:t>
            </w:r>
          </w:p>
        </w:tc>
      </w:tr>
      <w:tr w:rsidR="00A16EF6" w:rsidRPr="005A066E" w:rsidTr="00A16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Borrelia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recurrentis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Fièvre récurrente cosmopolite</w:t>
            </w:r>
          </w:p>
        </w:tc>
      </w:tr>
      <w:tr w:rsidR="005A066E" w:rsidRPr="005A066E" w:rsidTr="00A16EF6">
        <w:trPr>
          <w:trHeight w:val="20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1718" w:type="dxa"/>
            <w:vMerge w:val="restart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 xml:space="preserve">Puces </w:t>
            </w: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Yersinia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pestis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La peste</w:t>
            </w:r>
          </w:p>
        </w:tc>
      </w:tr>
      <w:tr w:rsidR="00A16EF6" w:rsidRPr="005A066E" w:rsidTr="00A16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Rickettsia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felis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Fièvre boutonneuse à puce</w:t>
            </w:r>
          </w:p>
        </w:tc>
      </w:tr>
      <w:tr w:rsidR="005A066E" w:rsidRPr="005A066E" w:rsidTr="00A16EF6">
        <w:trPr>
          <w:trHeight w:val="20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Rickettsia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typhi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Typhus murin</w:t>
            </w:r>
          </w:p>
        </w:tc>
      </w:tr>
      <w:tr w:rsidR="00A16EF6" w:rsidRPr="005A066E" w:rsidTr="00A16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1504" w:type="dxa"/>
            <w:vMerge w:val="restart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 xml:space="preserve">Acariens </w:t>
            </w:r>
          </w:p>
        </w:tc>
        <w:tc>
          <w:tcPr>
            <w:tcW w:w="1718" w:type="dxa"/>
            <w:vMerge w:val="restart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 xml:space="preserve">Tiques </w:t>
            </w: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Borrelia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sp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3969" w:type="dxa"/>
            <w:hideMark/>
          </w:tcPr>
          <w:p w:rsidR="005A066E" w:rsidRDefault="005A066E" w:rsidP="005A066E">
            <w:pPr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Fièvre récurrente à tique</w:t>
            </w:r>
          </w:p>
          <w:p w:rsidR="00A16EF6" w:rsidRPr="005A066E" w:rsidRDefault="00A16EF6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</w:tr>
      <w:tr w:rsidR="005A066E" w:rsidRPr="005A066E" w:rsidTr="00A16EF6">
        <w:trPr>
          <w:trHeight w:val="41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Rickettsia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conorii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Fièvre boutonneuse méditerranéenne</w:t>
            </w:r>
          </w:p>
        </w:tc>
      </w:tr>
      <w:tr w:rsidR="00A16EF6" w:rsidRPr="005A066E" w:rsidTr="00A16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Rickettsia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africæ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Fièvre à tique africaine</w:t>
            </w:r>
          </w:p>
        </w:tc>
      </w:tr>
      <w:tr w:rsidR="005A066E" w:rsidRPr="005A066E" w:rsidTr="00A16EF6">
        <w:trPr>
          <w:trHeight w:val="20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Coxiella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burnetii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Fièvre Q</w:t>
            </w:r>
          </w:p>
        </w:tc>
      </w:tr>
      <w:tr w:rsidR="00A16EF6" w:rsidRPr="005A066E" w:rsidTr="00A16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Ehrlichia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sp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.,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Anaplasma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sp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. </w:t>
            </w:r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Ehrlichiose</w:t>
            </w:r>
            <w:proofErr w:type="spellEnd"/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 xml:space="preserve">, </w:t>
            </w:r>
          </w:p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anaplasmose</w:t>
            </w:r>
            <w:proofErr w:type="spellEnd"/>
          </w:p>
        </w:tc>
      </w:tr>
      <w:tr w:rsidR="005A066E" w:rsidRPr="005A066E" w:rsidTr="00A16EF6">
        <w:trPr>
          <w:trHeight w:val="209"/>
        </w:trPr>
        <w:tc>
          <w:tcPr>
            <w:tcW w:w="0" w:type="auto"/>
            <w:vMerge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1718" w:type="dxa"/>
            <w:hideMark/>
          </w:tcPr>
          <w:p w:rsidR="005A066E" w:rsidRDefault="005A066E" w:rsidP="005A066E">
            <w:pPr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Trombiculidés</w:t>
            </w:r>
            <w:proofErr w:type="spellEnd"/>
          </w:p>
          <w:p w:rsidR="00A16EF6" w:rsidRPr="005A066E" w:rsidRDefault="00A16EF6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3152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Orientia</w:t>
            </w:r>
            <w:proofErr w:type="spellEnd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A066E">
              <w:rPr>
                <w:rFonts w:asciiTheme="majorBidi" w:eastAsia="Times New Roman" w:hAnsiTheme="majorBidi" w:cstheme="majorBidi"/>
                <w:i/>
                <w:iCs/>
                <w:color w:val="000000"/>
                <w:kern w:val="24"/>
                <w:sz w:val="24"/>
                <w:szCs w:val="24"/>
                <w:lang w:eastAsia="fr-FR"/>
              </w:rPr>
              <w:t>tsutsugamushi</w:t>
            </w:r>
            <w:proofErr w:type="spellEnd"/>
          </w:p>
        </w:tc>
        <w:tc>
          <w:tcPr>
            <w:tcW w:w="3969" w:type="dxa"/>
            <w:hideMark/>
          </w:tcPr>
          <w:p w:rsidR="005A066E" w:rsidRPr="005A066E" w:rsidRDefault="005A066E" w:rsidP="005A066E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A066E">
              <w:rPr>
                <w:rFonts w:asciiTheme="majorBidi" w:eastAsia="Times New Roman" w:hAnsiTheme="majorBidi" w:cstheme="majorBidi"/>
                <w:color w:val="000000"/>
                <w:kern w:val="24"/>
                <w:sz w:val="24"/>
                <w:szCs w:val="24"/>
                <w:lang w:eastAsia="fr-FR"/>
              </w:rPr>
              <w:t>Typhus des broussailles</w:t>
            </w:r>
          </w:p>
        </w:tc>
      </w:tr>
    </w:tbl>
    <w:p w:rsidR="009F411F" w:rsidRDefault="009F411F"/>
    <w:sectPr w:rsidR="009F411F" w:rsidSect="00610E51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A3E" w:rsidRDefault="007B1A3E" w:rsidP="00EC7AAC">
      <w:pPr>
        <w:spacing w:after="0" w:line="240" w:lineRule="auto"/>
      </w:pPr>
      <w:r>
        <w:separator/>
      </w:r>
    </w:p>
  </w:endnote>
  <w:endnote w:type="continuationSeparator" w:id="0">
    <w:p w:rsidR="007B1A3E" w:rsidRDefault="007B1A3E" w:rsidP="00EC7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489145"/>
      <w:docPartObj>
        <w:docPartGallery w:val="Page Numbers (Bottom of Page)"/>
        <w:docPartUnique/>
      </w:docPartObj>
    </w:sdtPr>
    <w:sdtEndPr/>
    <w:sdtContent>
      <w:p w:rsidR="00EC7AAC" w:rsidRDefault="00EC7AA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001">
          <w:rPr>
            <w:noProof/>
          </w:rPr>
          <w:t>1</w:t>
        </w:r>
        <w:r>
          <w:fldChar w:fldCharType="end"/>
        </w:r>
      </w:p>
    </w:sdtContent>
  </w:sdt>
  <w:p w:rsidR="00EC7AAC" w:rsidRDefault="00EC7AA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A3E" w:rsidRDefault="007B1A3E" w:rsidP="00EC7AAC">
      <w:pPr>
        <w:spacing w:after="0" w:line="240" w:lineRule="auto"/>
      </w:pPr>
      <w:r>
        <w:separator/>
      </w:r>
    </w:p>
  </w:footnote>
  <w:footnote w:type="continuationSeparator" w:id="0">
    <w:p w:rsidR="007B1A3E" w:rsidRDefault="007B1A3E" w:rsidP="00EC7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75AAB"/>
    <w:multiLevelType w:val="hybridMultilevel"/>
    <w:tmpl w:val="2A96235A"/>
    <w:lvl w:ilvl="0" w:tplc="B224A8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9A98D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EE13E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B81E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BEB1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78DCF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A867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6296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E08F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660D22"/>
    <w:multiLevelType w:val="hybridMultilevel"/>
    <w:tmpl w:val="0C36C0DE"/>
    <w:lvl w:ilvl="0" w:tplc="EAA08A66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B15CA"/>
    <w:multiLevelType w:val="hybridMultilevel"/>
    <w:tmpl w:val="595EE24A"/>
    <w:lvl w:ilvl="0" w:tplc="EAA08A66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6D0330"/>
    <w:multiLevelType w:val="hybridMultilevel"/>
    <w:tmpl w:val="82E2C0C6"/>
    <w:lvl w:ilvl="0" w:tplc="E77AC6F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C522D"/>
    <w:multiLevelType w:val="hybridMultilevel"/>
    <w:tmpl w:val="B69AE260"/>
    <w:lvl w:ilvl="0" w:tplc="EAA08A66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E51"/>
    <w:rsid w:val="00354C1C"/>
    <w:rsid w:val="004F4ABB"/>
    <w:rsid w:val="005A066E"/>
    <w:rsid w:val="00610E51"/>
    <w:rsid w:val="0072682B"/>
    <w:rsid w:val="007B1A3E"/>
    <w:rsid w:val="008C1001"/>
    <w:rsid w:val="00933E06"/>
    <w:rsid w:val="009F411F"/>
    <w:rsid w:val="00A16EF6"/>
    <w:rsid w:val="00C0732D"/>
    <w:rsid w:val="00EC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0E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5A066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TableauNormal"/>
    <w:uiPriority w:val="49"/>
    <w:rsid w:val="00A16E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EC7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7AAC"/>
  </w:style>
  <w:style w:type="paragraph" w:styleId="Pieddepage">
    <w:name w:val="footer"/>
    <w:basedOn w:val="Normal"/>
    <w:link w:val="PieddepageCar"/>
    <w:uiPriority w:val="99"/>
    <w:unhideWhenUsed/>
    <w:rsid w:val="00EC7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7AAC"/>
  </w:style>
  <w:style w:type="paragraph" w:styleId="Textedebulles">
    <w:name w:val="Balloon Text"/>
    <w:basedOn w:val="Normal"/>
    <w:link w:val="TextedebullesCar"/>
    <w:uiPriority w:val="99"/>
    <w:semiHidden/>
    <w:unhideWhenUsed/>
    <w:rsid w:val="008C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1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0E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5A066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TableauNormal"/>
    <w:uiPriority w:val="49"/>
    <w:rsid w:val="00A16E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EC7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7AAC"/>
  </w:style>
  <w:style w:type="paragraph" w:styleId="Pieddepage">
    <w:name w:val="footer"/>
    <w:basedOn w:val="Normal"/>
    <w:link w:val="PieddepageCar"/>
    <w:uiPriority w:val="99"/>
    <w:unhideWhenUsed/>
    <w:rsid w:val="00EC7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7AAC"/>
  </w:style>
  <w:style w:type="paragraph" w:styleId="Textedebulles">
    <w:name w:val="Balloon Text"/>
    <w:basedOn w:val="Normal"/>
    <w:link w:val="TextedebullesCar"/>
    <w:uiPriority w:val="99"/>
    <w:semiHidden/>
    <w:unhideWhenUsed/>
    <w:rsid w:val="008C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1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88137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0197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6517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1787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3837">
          <w:marLeft w:val="547"/>
          <w:marRight w:val="0"/>
          <w:marTop w:val="16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583">
          <w:marLeft w:val="446"/>
          <w:marRight w:val="0"/>
          <w:marTop w:val="151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6244">
          <w:marLeft w:val="446"/>
          <w:marRight w:val="0"/>
          <w:marTop w:val="151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4010">
          <w:marLeft w:val="446"/>
          <w:marRight w:val="0"/>
          <w:marTop w:val="151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202">
          <w:marLeft w:val="1080"/>
          <w:marRight w:val="0"/>
          <w:marTop w:val="151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4298">
          <w:marLeft w:val="1080"/>
          <w:marRight w:val="0"/>
          <w:marTop w:val="151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6671">
          <w:marLeft w:val="1080"/>
          <w:marRight w:val="0"/>
          <w:marTop w:val="151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544">
          <w:marLeft w:val="187"/>
          <w:marRight w:val="0"/>
          <w:marTop w:val="16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430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706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8112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8448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421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3457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035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23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191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0930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8257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430">
          <w:marLeft w:val="547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9225">
          <w:marLeft w:val="720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5953">
          <w:marLeft w:val="720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8874">
          <w:marLeft w:val="547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105">
          <w:marLeft w:val="547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9620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099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822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712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4249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4385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8132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935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875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23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482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246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834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7623">
          <w:marLeft w:val="446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1242">
          <w:marLeft w:val="547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5107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1742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382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0271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3884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5001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5098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927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9773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0328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2546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7616">
          <w:marLeft w:val="108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6109">
          <w:marLeft w:val="108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232">
          <w:marLeft w:val="108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638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705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8986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7101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2042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2619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5076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2223">
          <w:marLeft w:val="44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507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35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624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289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8206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5798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6291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760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0275">
          <w:marLeft w:val="446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9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7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4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24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6</cp:revision>
  <dcterms:created xsi:type="dcterms:W3CDTF">2021-06-01T07:32:00Z</dcterms:created>
  <dcterms:modified xsi:type="dcterms:W3CDTF">2022-03-26T23:30:00Z</dcterms:modified>
</cp:coreProperties>
</file>