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EEB" w:rsidRDefault="004B1EEB" w:rsidP="004B1EEB">
      <w:p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Faculté de médecine de Constantine </w:t>
      </w:r>
      <w:r>
        <w:rPr>
          <w:rFonts w:asciiTheme="majorBidi" w:hAnsiTheme="majorBidi" w:cstheme="majorBidi"/>
          <w:sz w:val="24"/>
          <w:szCs w:val="24"/>
        </w:rPr>
        <w:t xml:space="preserve">- </w:t>
      </w:r>
      <w:r w:rsidR="00DC51B7">
        <w:rPr>
          <w:rFonts w:asciiTheme="majorBidi" w:hAnsiTheme="majorBidi" w:cstheme="majorBidi"/>
          <w:b/>
          <w:bCs/>
          <w:sz w:val="24"/>
          <w:szCs w:val="24"/>
        </w:rPr>
        <w:t>Année universitaire : 2021/2022</w:t>
      </w:r>
    </w:p>
    <w:p w:rsidR="004B1EEB" w:rsidRDefault="004B1EEB" w:rsidP="004B1EEB">
      <w:p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Département de pharmacie</w:t>
      </w:r>
    </w:p>
    <w:p w:rsidR="004B1EEB" w:rsidRDefault="004B1EEB" w:rsidP="004B1EEB">
      <w:p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Cours de microbiologie de 4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ème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année pharmacie</w:t>
      </w:r>
    </w:p>
    <w:p w:rsidR="004B1EEB" w:rsidRDefault="004B1EEB" w:rsidP="004B1EEB">
      <w:pPr>
        <w:spacing w:after="0"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Dr N. MEKHOUKH</w:t>
      </w:r>
    </w:p>
    <w:p w:rsidR="004B1EEB" w:rsidRDefault="004B1EEB" w:rsidP="004B1EEB">
      <w:pPr>
        <w:spacing w:after="0" w:line="276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4B1EEB" w:rsidRDefault="004B1EEB" w:rsidP="004B1EEB">
      <w:pPr>
        <w:spacing w:line="276" w:lineRule="auto"/>
        <w:ind w:left="720"/>
        <w:jc w:val="center"/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LES MYCOBACTERIES ATYPIQUES</w:t>
      </w:r>
    </w:p>
    <w:p w:rsidR="004B1EEB" w:rsidRPr="00602606" w:rsidRDefault="004B1EEB" w:rsidP="004B1EEB">
      <w:pPr>
        <w:pStyle w:val="Paragraphedeliste"/>
        <w:numPr>
          <w:ilvl w:val="0"/>
          <w:numId w:val="10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b/>
          <w:bCs/>
          <w:color w:val="FF0000"/>
          <w:kern w:val="24"/>
          <w:sz w:val="28"/>
          <w:szCs w:val="28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Introduction – définition :</w:t>
      </w:r>
      <w:r w:rsidRPr="00602606">
        <w:rPr>
          <w:rFonts w:asciiTheme="majorBidi" w:eastAsiaTheme="minorEastAsia" w:hAnsiTheme="majorBidi" w:cstheme="majorBidi"/>
          <w:b/>
          <w:bCs/>
          <w:color w:val="FF0000"/>
          <w:kern w:val="2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4B1EEB" w:rsidRPr="00602606" w:rsidRDefault="004B1EEB" w:rsidP="004B1EEB">
      <w:pPr>
        <w:pStyle w:val="Paragraphedeliste"/>
        <w:numPr>
          <w:ilvl w:val="0"/>
          <w:numId w:val="11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70C0"/>
          <w:kern w:val="24"/>
        </w:rPr>
        <w:t xml:space="preserve">Les mycobactéries dites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« </w:t>
      </w:r>
      <w:r w:rsidRPr="00602606">
        <w:rPr>
          <w:rFonts w:asciiTheme="majorBidi" w:eastAsiaTheme="minorEastAsia" w:hAnsiTheme="majorBidi" w:cstheme="majorBidi"/>
          <w:color w:val="0070C0"/>
          <w:kern w:val="24"/>
        </w:rPr>
        <w:t>atypiques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 » ou «</w:t>
      </w:r>
      <w:r w:rsidRPr="00602606">
        <w:rPr>
          <w:rFonts w:asciiTheme="majorBidi" w:eastAsiaTheme="minorEastAsia" w:hAnsiTheme="majorBidi" w:cstheme="majorBidi"/>
          <w:color w:val="0070C0"/>
          <w:kern w:val="24"/>
        </w:rPr>
        <w:t> non tuberculeuses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 » sont des mycobactéries autres que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M.tuberculosis</w:t>
      </w:r>
      <w:proofErr w:type="spellEnd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 complexe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et </w:t>
      </w:r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leprae</w:t>
      </w:r>
      <w:proofErr w:type="spellEnd"/>
    </w:p>
    <w:p w:rsidR="004B1EEB" w:rsidRPr="00602606" w:rsidRDefault="004B1EEB" w:rsidP="004B1EEB">
      <w:pPr>
        <w:pStyle w:val="Paragraphedeliste"/>
        <w:numPr>
          <w:ilvl w:val="0"/>
          <w:numId w:val="11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présentes dans l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  <w:u w:val="single"/>
        </w:rPr>
        <w:t>'environnement (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l’eau, le sol et les végétaux) et chez certains animaux (volailles, porc, animaux à sang froid…). </w:t>
      </w:r>
    </w:p>
    <w:p w:rsidR="004B1EEB" w:rsidRPr="00602606" w:rsidRDefault="004B1EEB" w:rsidP="004B1EEB">
      <w:pPr>
        <w:pStyle w:val="Paragraphedeliste"/>
        <w:numPr>
          <w:ilvl w:val="0"/>
          <w:numId w:val="11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habituellement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  <w:u w:val="single"/>
        </w:rPr>
        <w:t xml:space="preserve">ne sont pas des pathogènes strictes de l’homme. </w:t>
      </w:r>
    </w:p>
    <w:p w:rsidR="004B1EEB" w:rsidRPr="00602606" w:rsidRDefault="004B1EEB" w:rsidP="004B1EEB">
      <w:pPr>
        <w:pStyle w:val="Paragraphedeliste"/>
        <w:numPr>
          <w:ilvl w:val="0"/>
          <w:numId w:val="11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Pas de transmission interhumaine.</w:t>
      </w:r>
    </w:p>
    <w:p w:rsidR="004B1EEB" w:rsidRPr="00602606" w:rsidRDefault="004B1EEB" w:rsidP="004B1EEB">
      <w:pPr>
        <w:pStyle w:val="Paragraphedeliste"/>
        <w:numPr>
          <w:ilvl w:val="0"/>
          <w:numId w:val="11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plusieurs espèces ne sont pas pathogènes, certaines d'entre elles peuvent être responsables d'infections opportunistes, simulant ou non la tuberculose, appelées </w:t>
      </w:r>
      <w:proofErr w:type="spellStart"/>
      <w:r w:rsidRPr="00602606">
        <w:rPr>
          <w:rFonts w:asciiTheme="majorBidi" w:eastAsiaTheme="minorEastAsia" w:hAnsiTheme="majorBidi" w:cstheme="majorBidi"/>
          <w:b/>
          <w:bCs/>
          <w:color w:val="0070C0"/>
          <w:kern w:val="24"/>
        </w:rPr>
        <w:t>mycobactérioses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survenant le plus souvent sur des terrains fragilisés (mucoviscidose) ou immunodéprimés (greffés, sida).</w:t>
      </w:r>
    </w:p>
    <w:p w:rsidR="004B1EEB" w:rsidRPr="00602606" w:rsidRDefault="004B1EEB" w:rsidP="004B1EEB">
      <w:pPr>
        <w:pStyle w:val="Paragraphedeliste"/>
        <w:numPr>
          <w:ilvl w:val="0"/>
          <w:numId w:val="11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Peuvent se développer à l’état commensal, contaminant les prélèvements biologiques.</w:t>
      </w:r>
    </w:p>
    <w:p w:rsidR="004B1EEB" w:rsidRPr="00602606" w:rsidRDefault="004B1EEB" w:rsidP="004B1EEB">
      <w:pPr>
        <w:pStyle w:val="Paragraphedeliste"/>
        <w:numPr>
          <w:ilvl w:val="0"/>
          <w:numId w:val="11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Le diagnostic d’une </w:t>
      </w:r>
      <w:proofErr w:type="spellStart"/>
      <w:r w:rsidRPr="00602606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>mycobactériose</w:t>
      </w:r>
      <w:proofErr w:type="spellEnd"/>
      <w:r w:rsidRPr="00602606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peut donc être délicat.</w:t>
      </w:r>
    </w:p>
    <w:p w:rsidR="004B1EEB" w:rsidRPr="0067624D" w:rsidRDefault="004B1EEB" w:rsidP="004B1EEB">
      <w:pPr>
        <w:pStyle w:val="Paragraphedeliste"/>
        <w:numPr>
          <w:ilvl w:val="0"/>
          <w:numId w:val="11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La prise en charge thérapeutique est difficile en raison du tout petit nombre d'antibiotiques actifs.</w:t>
      </w:r>
    </w:p>
    <w:p w:rsidR="004B1EEB" w:rsidRPr="00C8688C" w:rsidRDefault="004B1EEB" w:rsidP="004B1EEB">
      <w:pPr>
        <w:pStyle w:val="Paragraphedeliste"/>
        <w:numPr>
          <w:ilvl w:val="0"/>
          <w:numId w:val="10"/>
        </w:numPr>
        <w:spacing w:line="276" w:lineRule="auto"/>
        <w:rPr>
          <w:rFonts w:asciiTheme="majorBidi" w:hAnsiTheme="majorBidi" w:cstheme="majorBidi"/>
        </w:rPr>
      </w:pPr>
      <w:r w:rsidRPr="00C8688C">
        <w:rPr>
          <w:rFonts w:asciiTheme="majorBidi" w:eastAsiaTheme="minorEastAsia" w:hAnsiTheme="majorBidi" w:cstheme="majorBidi"/>
          <w:b/>
          <w:bCs/>
          <w:color w:val="FF0000"/>
          <w:kern w:val="24"/>
          <w:sz w:val="28"/>
          <w:szCs w:val="28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Classification des mycobactéries atypiques</w:t>
      </w:r>
      <w:r w:rsidRPr="00C8688C">
        <w:rPr>
          <w:rFonts w:asciiTheme="majorBidi" w:eastAsiaTheme="minorEastAsia" w:hAnsiTheme="majorBidi" w:cstheme="majorBidi"/>
          <w:b/>
          <w:bCs/>
          <w:color w:val="FF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 :</w:t>
      </w:r>
    </w:p>
    <w:p w:rsidR="004B1EEB" w:rsidRPr="00C8688C" w:rsidRDefault="004B1EEB" w:rsidP="004B1EEB">
      <w:pPr>
        <w:pStyle w:val="Paragraphedeliste"/>
        <w:numPr>
          <w:ilvl w:val="0"/>
          <w:numId w:val="12"/>
        </w:numPr>
        <w:spacing w:line="276" w:lineRule="auto"/>
        <w:rPr>
          <w:rFonts w:asciiTheme="majorBidi" w:hAnsiTheme="majorBidi" w:cstheme="majorBidi"/>
        </w:rPr>
      </w:pPr>
      <w:r w:rsidRPr="00C8688C">
        <w:rPr>
          <w:rFonts w:asciiTheme="majorBidi" w:eastAsiaTheme="minorEastAsia" w:hAnsiTheme="majorBidi" w:cstheme="majorBidi"/>
          <w:color w:val="000000" w:themeColor="text1"/>
          <w:kern w:val="24"/>
        </w:rPr>
        <w:t>Il existe plusieurs espèces de mycobactéries aty</w:t>
      </w:r>
      <w:r w:rsidR="00E94562">
        <w:rPr>
          <w:rFonts w:asciiTheme="majorBidi" w:eastAsiaTheme="minorEastAsia" w:hAnsiTheme="majorBidi" w:cstheme="majorBidi"/>
          <w:color w:val="000000" w:themeColor="text1"/>
          <w:kern w:val="24"/>
        </w:rPr>
        <w:t>piques (&gt;1</w:t>
      </w:r>
      <w:r w:rsidR="00DC51B7">
        <w:rPr>
          <w:rFonts w:asciiTheme="majorBidi" w:eastAsiaTheme="minorEastAsia" w:hAnsiTheme="majorBidi" w:cstheme="majorBidi"/>
          <w:color w:val="000000" w:themeColor="text1"/>
          <w:kern w:val="24"/>
        </w:rPr>
        <w:t>8</w:t>
      </w:r>
      <w:r w:rsidR="00E94562">
        <w:rPr>
          <w:rFonts w:asciiTheme="majorBidi" w:eastAsiaTheme="minorEastAsia" w:hAnsiTheme="majorBidi" w:cstheme="majorBidi"/>
          <w:color w:val="000000" w:themeColor="text1"/>
          <w:kern w:val="24"/>
        </w:rPr>
        <w:t>0</w:t>
      </w:r>
      <w:r w:rsidRPr="00C8688C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espèces)</w:t>
      </w:r>
    </w:p>
    <w:p w:rsidR="004B1EEB" w:rsidRPr="00C8688C" w:rsidRDefault="004B1EEB" w:rsidP="004B1EEB">
      <w:pPr>
        <w:pStyle w:val="Paragraphedeliste"/>
        <w:numPr>
          <w:ilvl w:val="0"/>
          <w:numId w:val="12"/>
        </w:numPr>
        <w:spacing w:line="276" w:lineRule="auto"/>
        <w:rPr>
          <w:rFonts w:asciiTheme="majorBidi" w:hAnsiTheme="majorBidi" w:cstheme="majorBidi"/>
        </w:rPr>
      </w:pPr>
      <w:r w:rsidRPr="00C8688C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C’est en 1959 que </w:t>
      </w:r>
      <w:proofErr w:type="spellStart"/>
      <w:r w:rsidRPr="00C8688C">
        <w:rPr>
          <w:rFonts w:asciiTheme="majorBidi" w:eastAsiaTheme="minorEastAsia" w:hAnsiTheme="majorBidi" w:cstheme="majorBidi"/>
          <w:color w:val="000000" w:themeColor="text1"/>
          <w:kern w:val="24"/>
        </w:rPr>
        <w:t>Runyon</w:t>
      </w:r>
      <w:proofErr w:type="spellEnd"/>
      <w:r w:rsidRPr="00C8688C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a proposé une classification des mycobactéries atypiques en 4 groupes ;</w:t>
      </w:r>
    </w:p>
    <w:p w:rsidR="004B1EEB" w:rsidRPr="00C8688C" w:rsidRDefault="004B1EEB" w:rsidP="004B1EEB">
      <w:pPr>
        <w:pStyle w:val="Paragraphedeliste"/>
        <w:numPr>
          <w:ilvl w:val="0"/>
          <w:numId w:val="12"/>
        </w:numPr>
        <w:spacing w:line="276" w:lineRule="auto"/>
        <w:rPr>
          <w:rFonts w:asciiTheme="majorBidi" w:hAnsiTheme="majorBidi" w:cstheme="majorBidi"/>
        </w:rPr>
      </w:pPr>
      <w:r w:rsidRPr="00C8688C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Basée sur la </w:t>
      </w:r>
      <w:r w:rsidRPr="00C8688C"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u w:val="single"/>
        </w:rPr>
        <w:t xml:space="preserve">vitesse de croissance </w:t>
      </w:r>
      <w:r w:rsidRPr="00C8688C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(milieux de culture) et la </w:t>
      </w:r>
      <w:r w:rsidRPr="00C8688C"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u w:val="single"/>
        </w:rPr>
        <w:t xml:space="preserve">pigmentation </w:t>
      </w:r>
      <w:r w:rsidRPr="00C8688C">
        <w:rPr>
          <w:rFonts w:asciiTheme="majorBidi" w:eastAsiaTheme="minorEastAsia" w:hAnsiTheme="majorBidi" w:cstheme="majorBidi"/>
          <w:color w:val="000000" w:themeColor="text1"/>
          <w:kern w:val="24"/>
        </w:rPr>
        <w:t>des colonies :</w:t>
      </w:r>
    </w:p>
    <w:p w:rsidR="004B1EEB" w:rsidRPr="0067624D" w:rsidRDefault="004B1EEB" w:rsidP="004B1EEB">
      <w:pPr>
        <w:pStyle w:val="Paragraphedeliste"/>
        <w:numPr>
          <w:ilvl w:val="0"/>
          <w:numId w:val="13"/>
        </w:numPr>
        <w:spacing w:line="276" w:lineRule="auto"/>
        <w:rPr>
          <w:rFonts w:asciiTheme="majorBidi" w:hAnsiTheme="majorBidi" w:cstheme="majorBidi"/>
          <w:sz w:val="28"/>
          <w:szCs w:val="28"/>
          <w:u w:val="single"/>
        </w:rPr>
      </w:pPr>
      <w:r w:rsidRPr="00C8688C">
        <w:rPr>
          <w:rFonts w:asciiTheme="majorBidi" w:eastAsiaTheme="minorEastAsia" w:hAnsiTheme="majorBidi" w:cstheme="majorBidi"/>
          <w:b/>
          <w:bCs/>
          <w:color w:val="281D79"/>
          <w:kern w:val="24"/>
          <w:sz w:val="28"/>
          <w:szCs w:val="28"/>
          <w:u w:val="single"/>
        </w:rPr>
        <w:t>Classification (</w:t>
      </w:r>
      <w:proofErr w:type="spellStart"/>
      <w:r w:rsidRPr="00C8688C">
        <w:rPr>
          <w:rFonts w:asciiTheme="majorBidi" w:eastAsiaTheme="minorEastAsia" w:hAnsiTheme="majorBidi" w:cstheme="majorBidi"/>
          <w:b/>
          <w:bCs/>
          <w:color w:val="281D79"/>
          <w:kern w:val="24"/>
          <w:sz w:val="28"/>
          <w:szCs w:val="28"/>
          <w:u w:val="single"/>
        </w:rPr>
        <w:t>Runyon</w:t>
      </w:r>
      <w:proofErr w:type="spellEnd"/>
      <w:r w:rsidRPr="00C8688C">
        <w:rPr>
          <w:rFonts w:asciiTheme="majorBidi" w:eastAsiaTheme="minorEastAsia" w:hAnsiTheme="majorBidi" w:cstheme="majorBidi"/>
          <w:b/>
          <w:bCs/>
          <w:color w:val="281D79"/>
          <w:kern w:val="24"/>
          <w:sz w:val="28"/>
          <w:szCs w:val="28"/>
          <w:u w:val="single"/>
        </w:rPr>
        <w:t>)</w:t>
      </w:r>
    </w:p>
    <w:p w:rsidR="004B1EEB" w:rsidRPr="00C8688C" w:rsidRDefault="004B1EEB" w:rsidP="004B1EEB">
      <w:pPr>
        <w:pStyle w:val="Paragraphedeliste"/>
        <w:numPr>
          <w:ilvl w:val="0"/>
          <w:numId w:val="14"/>
        </w:numPr>
        <w:spacing w:line="276" w:lineRule="auto"/>
        <w:rPr>
          <w:rFonts w:asciiTheme="majorBidi" w:hAnsiTheme="majorBidi" w:cstheme="majorBidi"/>
        </w:rPr>
      </w:pPr>
      <w:r w:rsidRPr="00C8688C">
        <w:rPr>
          <w:rFonts w:asciiTheme="majorBidi" w:eastAsiaTheme="minorEastAsia" w:hAnsiTheme="majorBidi" w:cstheme="majorBidi"/>
          <w:b/>
          <w:bCs/>
          <w:color w:val="D90C33"/>
          <w:kern w:val="24"/>
        </w:rPr>
        <w:t>Groupe I</w:t>
      </w:r>
      <w:r>
        <w:rPr>
          <w:rFonts w:asciiTheme="majorBidi" w:eastAsiaTheme="minorEastAsia" w:hAnsiTheme="majorBidi" w:cstheme="majorBidi"/>
          <w:b/>
          <w:bCs/>
          <w:color w:val="D90C33"/>
          <w:kern w:val="24"/>
        </w:rPr>
        <w:t xml:space="preserve"> </w:t>
      </w:r>
      <w:r w:rsidRPr="00C8688C">
        <w:rPr>
          <w:rFonts w:asciiTheme="majorBidi" w:eastAsiaTheme="minorEastAsia" w:hAnsiTheme="majorBidi" w:cstheme="majorBidi"/>
          <w:b/>
          <w:bCs/>
          <w:color w:val="D90C33"/>
          <w:kern w:val="24"/>
        </w:rPr>
        <w:t xml:space="preserve">: Mycobactéries </w:t>
      </w:r>
      <w:proofErr w:type="spellStart"/>
      <w:r w:rsidRPr="00C8688C">
        <w:rPr>
          <w:rFonts w:asciiTheme="majorBidi" w:eastAsiaTheme="minorEastAsia" w:hAnsiTheme="majorBidi" w:cstheme="majorBidi"/>
          <w:b/>
          <w:bCs/>
          <w:color w:val="D90C33"/>
          <w:kern w:val="24"/>
        </w:rPr>
        <w:t>photochromogènes</w:t>
      </w:r>
      <w:proofErr w:type="spellEnd"/>
    </w:p>
    <w:p w:rsidR="004B1EEB" w:rsidRPr="00602606" w:rsidRDefault="004B1EEB" w:rsidP="004B1EEB">
      <w:pPr>
        <w:pStyle w:val="NormalWeb"/>
        <w:spacing w:before="150" w:beforeAutospacing="0" w:after="0" w:afterAutospacing="0"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Mycobactéries à </w:t>
      </w:r>
      <w:r w:rsidRPr="00602606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 xml:space="preserve">croissance lente,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les colonies ne sont pas pigmentées à l’obscurité et se pigmentent en jaune après exposition à la lumière (caroténogénèse photo inductible)</w:t>
      </w:r>
    </w:p>
    <w:p w:rsidR="004B1EEB" w:rsidRPr="00C8688C" w:rsidRDefault="004B1EEB" w:rsidP="004B1EEB">
      <w:pPr>
        <w:pStyle w:val="Paragraphedeliste"/>
        <w:numPr>
          <w:ilvl w:val="0"/>
          <w:numId w:val="14"/>
        </w:numPr>
        <w:spacing w:line="276" w:lineRule="auto"/>
        <w:rPr>
          <w:rFonts w:asciiTheme="majorBidi" w:hAnsiTheme="majorBidi" w:cstheme="majorBidi"/>
        </w:rPr>
      </w:pPr>
      <w:r w:rsidRPr="00C8688C">
        <w:rPr>
          <w:rFonts w:asciiTheme="majorBidi" w:eastAsiaTheme="minorEastAsia" w:hAnsiTheme="majorBidi" w:cstheme="majorBidi"/>
          <w:b/>
          <w:bCs/>
          <w:color w:val="D90C33"/>
          <w:kern w:val="24"/>
        </w:rPr>
        <w:t>Groupe II</w:t>
      </w:r>
      <w:r>
        <w:rPr>
          <w:rFonts w:asciiTheme="majorBidi" w:eastAsiaTheme="minorEastAsia" w:hAnsiTheme="majorBidi" w:cstheme="majorBidi"/>
          <w:b/>
          <w:bCs/>
          <w:color w:val="D90C33"/>
          <w:kern w:val="24"/>
        </w:rPr>
        <w:t xml:space="preserve"> </w:t>
      </w:r>
      <w:r w:rsidRPr="00C8688C">
        <w:rPr>
          <w:rFonts w:asciiTheme="majorBidi" w:eastAsiaTheme="minorEastAsia" w:hAnsiTheme="majorBidi" w:cstheme="majorBidi"/>
          <w:b/>
          <w:bCs/>
          <w:color w:val="D90C33"/>
          <w:kern w:val="24"/>
        </w:rPr>
        <w:t xml:space="preserve">: Mycobactéries </w:t>
      </w:r>
      <w:proofErr w:type="spellStart"/>
      <w:r w:rsidRPr="00C8688C">
        <w:rPr>
          <w:rFonts w:asciiTheme="majorBidi" w:eastAsiaTheme="minorEastAsia" w:hAnsiTheme="majorBidi" w:cstheme="majorBidi"/>
          <w:b/>
          <w:bCs/>
          <w:color w:val="D90C33"/>
          <w:kern w:val="24"/>
        </w:rPr>
        <w:t>scotochromogène</w:t>
      </w:r>
      <w:proofErr w:type="spellEnd"/>
    </w:p>
    <w:p w:rsidR="004B1EEB" w:rsidRPr="00C8688C" w:rsidRDefault="004B1EEB" w:rsidP="004B1EEB">
      <w:pPr>
        <w:pStyle w:val="NormalWeb"/>
        <w:spacing w:before="150" w:beforeAutospacing="0" w:after="0" w:afterAutospacing="0" w:line="276" w:lineRule="auto"/>
        <w:rPr>
          <w:rFonts w:asciiTheme="majorBidi" w:eastAsiaTheme="minorEastAsia" w:hAnsiTheme="majorBidi" w:cstheme="majorBidi"/>
          <w:color w:val="000000" w:themeColor="text1"/>
          <w:kern w:val="24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Mycobactéries à </w:t>
      </w:r>
      <w:r w:rsidRPr="00602606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>croissance lente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, pigmentées en jaune orangée à l’obscurité et plus intensément à la lumière (caroténogénèse constitutive)</w:t>
      </w:r>
    </w:p>
    <w:p w:rsidR="004B1EEB" w:rsidRPr="00C8688C" w:rsidRDefault="004B1EEB" w:rsidP="004B1EEB">
      <w:pPr>
        <w:pStyle w:val="Paragraphedeliste"/>
        <w:numPr>
          <w:ilvl w:val="0"/>
          <w:numId w:val="14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b/>
          <w:bCs/>
          <w:color w:val="D90C33"/>
          <w:kern w:val="24"/>
        </w:rPr>
        <w:t>Groupe III</w:t>
      </w:r>
      <w:r>
        <w:rPr>
          <w:rFonts w:asciiTheme="majorBidi" w:eastAsiaTheme="minorEastAsia" w:hAnsiTheme="majorBidi" w:cstheme="majorBidi"/>
          <w:b/>
          <w:bCs/>
          <w:color w:val="D90C33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b/>
          <w:bCs/>
          <w:color w:val="D90C33"/>
          <w:kern w:val="24"/>
        </w:rPr>
        <w:t>: Mycobactéries non chromogènes</w:t>
      </w:r>
    </w:p>
    <w:p w:rsidR="004B1EEB" w:rsidRPr="00C8688C" w:rsidRDefault="004B1EEB" w:rsidP="004B1EEB">
      <w:pPr>
        <w:spacing w:line="276" w:lineRule="auto"/>
        <w:rPr>
          <w:rFonts w:asciiTheme="majorBidi" w:hAnsiTheme="majorBidi" w:cstheme="majorBidi"/>
          <w:sz w:val="24"/>
          <w:szCs w:val="24"/>
        </w:rPr>
      </w:pPr>
      <w:r w:rsidRPr="00C8688C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</w:rPr>
        <w:t xml:space="preserve">Mycobactéries à </w:t>
      </w:r>
      <w:r w:rsidRPr="00C8688C">
        <w:rPr>
          <w:rFonts w:asciiTheme="majorBidi" w:eastAsiaTheme="minorEastAsia" w:hAnsiTheme="majorBidi" w:cstheme="majorBidi"/>
          <w:b/>
          <w:bCs/>
          <w:color w:val="000000" w:themeColor="text1"/>
          <w:kern w:val="24"/>
          <w:sz w:val="24"/>
          <w:szCs w:val="24"/>
        </w:rPr>
        <w:t>croissance lente</w:t>
      </w:r>
      <w:r w:rsidRPr="00C8688C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</w:rPr>
        <w:t>, non pigmentées à l’obscurité, se pigmentant parfois à la lumière et avec l’âge, en jaune ou en rose</w:t>
      </w:r>
    </w:p>
    <w:p w:rsidR="004B1EEB" w:rsidRPr="0067624D" w:rsidRDefault="004B1EEB" w:rsidP="004B1EEB">
      <w:pPr>
        <w:pStyle w:val="Paragraphedeliste"/>
        <w:numPr>
          <w:ilvl w:val="0"/>
          <w:numId w:val="14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b/>
          <w:bCs/>
          <w:color w:val="D90C33"/>
          <w:kern w:val="24"/>
        </w:rPr>
        <w:t>Groupe IV</w:t>
      </w:r>
      <w:r>
        <w:rPr>
          <w:rFonts w:asciiTheme="majorBidi" w:eastAsiaTheme="minorEastAsia" w:hAnsiTheme="majorBidi" w:cstheme="majorBidi"/>
          <w:b/>
          <w:bCs/>
          <w:color w:val="D90C33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b/>
          <w:bCs/>
          <w:color w:val="D90C33"/>
          <w:kern w:val="24"/>
        </w:rPr>
        <w:t>: Mycobactéries à croissance rapide</w:t>
      </w:r>
    </w:p>
    <w:p w:rsidR="004B1EEB" w:rsidRDefault="004B1EEB" w:rsidP="004B1EEB">
      <w:pPr>
        <w:spacing w:line="276" w:lineRule="auto"/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</w:rPr>
      </w:pPr>
      <w:r w:rsidRPr="0067624D">
        <w:rPr>
          <w:rFonts w:asciiTheme="majorBidi" w:eastAsiaTheme="minorEastAsia" w:hAnsiTheme="majorBidi" w:cstheme="majorBidi"/>
          <w:color w:val="000000" w:themeColor="text1"/>
          <w:kern w:val="24"/>
          <w:sz w:val="24"/>
          <w:szCs w:val="24"/>
        </w:rPr>
        <w:t>Les colonies apparaissent en moins d’une semaine et la pigmentation est variable selon l’espèce.</w:t>
      </w:r>
    </w:p>
    <w:p w:rsidR="004B1EEB" w:rsidRPr="0067624D" w:rsidRDefault="004B1EEB" w:rsidP="004B1EEB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 wp14:anchorId="7E89D2B2" wp14:editId="0864F17A">
            <wp:extent cx="6150985" cy="39347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90" cy="3938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1EEB" w:rsidRPr="0067624D" w:rsidRDefault="004B1EEB" w:rsidP="004B1EEB">
      <w:pPr>
        <w:pStyle w:val="Paragraphedeliste"/>
        <w:numPr>
          <w:ilvl w:val="0"/>
          <w:numId w:val="10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67624D">
        <w:rPr>
          <w:rFonts w:asciiTheme="majorBidi" w:eastAsiaTheme="minorEastAsia" w:hAnsiTheme="majorBidi" w:cstheme="majorBidi"/>
          <w:b/>
          <w:bCs/>
          <w:color w:val="FF0000"/>
          <w:kern w:val="24"/>
          <w:sz w:val="28"/>
          <w:szCs w:val="28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Physiopathologie- Pouvoir pathogène</w:t>
      </w:r>
    </w:p>
    <w:p w:rsidR="004B1EEB" w:rsidRPr="00602606" w:rsidRDefault="004B1EEB" w:rsidP="004B1EEB">
      <w:pPr>
        <w:pStyle w:val="Paragraphedeliste"/>
        <w:numPr>
          <w:ilvl w:val="0"/>
          <w:numId w:val="1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MNT sont habituellement non pathogènes pour l'homme mais une vingtaine d'entre elles se comportent en opportunistes et peuvent être responsables d'infections en cas d'immunodépression locale (lésions broncho-pulmonaires, plaies cutanées,...) ou générale (sida, cancers, hémopathies, corticothérapie au long cours...)</w:t>
      </w:r>
    </w:p>
    <w:p w:rsidR="004B1EEB" w:rsidRPr="008512D3" w:rsidRDefault="004B1EEB" w:rsidP="004B1EEB">
      <w:pPr>
        <w:pStyle w:val="Paragraphedeliste"/>
        <w:numPr>
          <w:ilvl w:val="0"/>
          <w:numId w:val="1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Les </w:t>
      </w:r>
      <w:proofErr w:type="spellStart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mycobactérioses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ne se distinguent de la tuberculose ni par la clinique, ni par la radiologie ou l’anatomo-pathologie</w:t>
      </w:r>
    </w:p>
    <w:p w:rsidR="004B1EEB" w:rsidRPr="00602606" w:rsidRDefault="004B1EEB" w:rsidP="004B1EEB">
      <w:pPr>
        <w:pStyle w:val="Paragraphedeliste"/>
        <w:spacing w:line="276" w:lineRule="auto"/>
        <w:rPr>
          <w:rFonts w:asciiTheme="majorBidi" w:hAnsiTheme="majorBidi" w:cstheme="majorBidi"/>
        </w:rPr>
      </w:pPr>
    </w:p>
    <w:p w:rsidR="004B1EEB" w:rsidRPr="009C2735" w:rsidRDefault="004B1EEB" w:rsidP="004B1EEB">
      <w:pPr>
        <w:pStyle w:val="Paragraphedeliste"/>
        <w:numPr>
          <w:ilvl w:val="0"/>
          <w:numId w:val="1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9C2735">
        <w:rPr>
          <w:rFonts w:asciiTheme="majorBidi" w:eastAsiaTheme="minorEastAsia" w:hAnsiTheme="majorBidi" w:cstheme="majorBidi"/>
          <w:b/>
          <w:bCs/>
          <w:color w:val="C00000"/>
          <w:kern w:val="24"/>
          <w:sz w:val="28"/>
          <w:szCs w:val="28"/>
          <w:u w:val="single"/>
        </w:rPr>
        <w:t>Mode de transmission</w:t>
      </w:r>
      <w:r>
        <w:rPr>
          <w:rFonts w:asciiTheme="majorBidi" w:eastAsiaTheme="minorEastAsia" w:hAnsiTheme="majorBidi" w:cstheme="majorBidi"/>
          <w:b/>
          <w:bCs/>
          <w:color w:val="C00000"/>
          <w:kern w:val="24"/>
          <w:sz w:val="28"/>
          <w:szCs w:val="28"/>
          <w:u w:val="single"/>
        </w:rPr>
        <w:t> :</w:t>
      </w:r>
    </w:p>
    <w:p w:rsidR="004B1EEB" w:rsidRPr="00602606" w:rsidRDefault="004B1EEB" w:rsidP="004B1EEB">
      <w:pPr>
        <w:pStyle w:val="Paragraphedeliste"/>
        <w:numPr>
          <w:ilvl w:val="1"/>
          <w:numId w:val="1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Pas de transmission interhumaine</w:t>
      </w:r>
    </w:p>
    <w:p w:rsidR="004B1EEB" w:rsidRPr="00602606" w:rsidRDefault="004B1EEB" w:rsidP="004B1EEB">
      <w:pPr>
        <w:pStyle w:val="Paragraphedeliste"/>
        <w:numPr>
          <w:ilvl w:val="1"/>
          <w:numId w:val="1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Le réservoir étant principalement hydro-tellurique, la transmission se fait par : </w:t>
      </w:r>
    </w:p>
    <w:p w:rsidR="004B1EEB" w:rsidRPr="00602606" w:rsidRDefault="004B1EEB" w:rsidP="004B1EEB">
      <w:pPr>
        <w:pStyle w:val="Paragraphedeliste"/>
        <w:numPr>
          <w:ilvl w:val="2"/>
          <w:numId w:val="1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Aérosol (ex. </w:t>
      </w:r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kansasii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), </w:t>
      </w:r>
    </w:p>
    <w:p w:rsidR="004B1EEB" w:rsidRPr="00602606" w:rsidRDefault="004B1EEB" w:rsidP="004B1EEB">
      <w:pPr>
        <w:pStyle w:val="Paragraphedeliste"/>
        <w:numPr>
          <w:ilvl w:val="2"/>
          <w:numId w:val="1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Ingestion (ex. </w:t>
      </w:r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avium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) </w:t>
      </w:r>
    </w:p>
    <w:p w:rsidR="004B1EEB" w:rsidRPr="00602606" w:rsidRDefault="004B1EEB" w:rsidP="004B1EEB">
      <w:pPr>
        <w:pStyle w:val="Paragraphedeliste"/>
        <w:numPr>
          <w:ilvl w:val="2"/>
          <w:numId w:val="1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Matériel chirurgical mal stérilisé</w:t>
      </w:r>
    </w:p>
    <w:p w:rsidR="004B1EEB" w:rsidRPr="008512D3" w:rsidRDefault="004B1EEB" w:rsidP="004B1EEB">
      <w:pPr>
        <w:pStyle w:val="Paragraphedeliste"/>
        <w:numPr>
          <w:ilvl w:val="2"/>
          <w:numId w:val="1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Inoculation sur ulcération ou micro piqûres (ex. </w:t>
      </w:r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marinum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). </w:t>
      </w:r>
    </w:p>
    <w:p w:rsidR="004B1EEB" w:rsidRPr="00602606" w:rsidRDefault="004B1EEB" w:rsidP="004B1EEB">
      <w:pPr>
        <w:pStyle w:val="Paragraphedeliste"/>
        <w:spacing w:line="276" w:lineRule="auto"/>
        <w:ind w:left="2160"/>
        <w:rPr>
          <w:rFonts w:asciiTheme="majorBidi" w:hAnsiTheme="majorBidi" w:cstheme="majorBidi"/>
        </w:rPr>
      </w:pPr>
    </w:p>
    <w:p w:rsidR="004B1EEB" w:rsidRPr="009C2735" w:rsidRDefault="004B1EEB" w:rsidP="004B1EEB">
      <w:pPr>
        <w:pStyle w:val="Paragraphedeliste"/>
        <w:numPr>
          <w:ilvl w:val="0"/>
          <w:numId w:val="1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9C2735">
        <w:rPr>
          <w:rFonts w:asciiTheme="majorBidi" w:eastAsiaTheme="minorEastAsia" w:hAnsiTheme="majorBidi" w:cstheme="majorBidi"/>
          <w:b/>
          <w:bCs/>
          <w:color w:val="C00000"/>
          <w:kern w:val="24"/>
          <w:sz w:val="28"/>
          <w:szCs w:val="28"/>
          <w:u w:val="single"/>
        </w:rPr>
        <w:t>Localisations cliniques</w:t>
      </w:r>
      <w:r>
        <w:rPr>
          <w:rFonts w:asciiTheme="majorBidi" w:eastAsiaTheme="minorEastAsia" w:hAnsiTheme="majorBidi" w:cstheme="majorBidi"/>
          <w:b/>
          <w:bCs/>
          <w:color w:val="C00000"/>
          <w:kern w:val="24"/>
          <w:sz w:val="28"/>
          <w:szCs w:val="28"/>
          <w:u w:val="single"/>
        </w:rPr>
        <w:t> :</w:t>
      </w:r>
    </w:p>
    <w:p w:rsidR="004B1EEB" w:rsidRPr="00602606" w:rsidRDefault="004B1EEB" w:rsidP="004B1EEB">
      <w:pPr>
        <w:pStyle w:val="NormalWeb"/>
        <w:numPr>
          <w:ilvl w:val="0"/>
          <w:numId w:val="15"/>
        </w:numPr>
        <w:spacing w:before="150" w:beforeAutospacing="0" w:after="0" w:afterAutospacing="0" w:line="276" w:lineRule="auto"/>
        <w:rPr>
          <w:rFonts w:asciiTheme="majorBidi" w:hAnsiTheme="majorBidi" w:cstheme="majorBidi"/>
        </w:rPr>
      </w:pPr>
      <w:proofErr w:type="spellStart"/>
      <w:r w:rsidRPr="00602606"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>Mycobactérioses</w:t>
      </w:r>
      <w:proofErr w:type="spellEnd"/>
      <w:r w:rsidRPr="00602606"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 xml:space="preserve"> pulmonaires</w:t>
      </w:r>
    </w:p>
    <w:p w:rsidR="004B1EEB" w:rsidRPr="00602606" w:rsidRDefault="004B1EEB" w:rsidP="004B1EEB">
      <w:pPr>
        <w:pStyle w:val="Paragraphedeliste"/>
        <w:numPr>
          <w:ilvl w:val="0"/>
          <w:numId w:val="2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Ce sont les formes les plus fréquentes, pouvant simuler une tuberculose pulmonaire. </w:t>
      </w:r>
    </w:p>
    <w:p w:rsidR="004B1EEB" w:rsidRPr="00602606" w:rsidRDefault="004B1EEB" w:rsidP="004B1EEB">
      <w:pPr>
        <w:pStyle w:val="Paragraphedeliste"/>
        <w:numPr>
          <w:ilvl w:val="0"/>
          <w:numId w:val="2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Ces infections surviennent presque toujours sur un poumon pathologique : séquelles de tuberculose, bronchopathie ou pneumopathie chronique, fibrose pulmonaire...</w:t>
      </w:r>
    </w:p>
    <w:p w:rsidR="004B1EEB" w:rsidRPr="00602606" w:rsidRDefault="004B1EEB" w:rsidP="004B1EEB">
      <w:pPr>
        <w:pStyle w:val="Paragraphedeliste"/>
        <w:numPr>
          <w:ilvl w:val="0"/>
          <w:numId w:val="2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lastRenderedPageBreak/>
        <w:t xml:space="preserve">Espèces en cause : </w:t>
      </w:r>
      <w:r w:rsidRPr="00602606">
        <w:rPr>
          <w:rFonts w:asciiTheme="majorBidi" w:eastAsiaTheme="minorEastAsia" w:hAnsiTheme="majorBidi" w:cstheme="majorBidi"/>
          <w:b/>
          <w:bCs/>
          <w:i/>
          <w:iCs/>
          <w:color w:val="FF3399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b/>
          <w:bCs/>
          <w:i/>
          <w:iCs/>
          <w:color w:val="FF3399"/>
          <w:kern w:val="24"/>
        </w:rPr>
        <w:t>kansasii</w:t>
      </w:r>
      <w:proofErr w:type="spellEnd"/>
      <w:r w:rsidRPr="00602606">
        <w:rPr>
          <w:rFonts w:asciiTheme="majorBidi" w:eastAsiaTheme="minorEastAsia" w:hAnsiTheme="majorBidi" w:cstheme="majorBidi"/>
          <w:b/>
          <w:bCs/>
          <w:i/>
          <w:iCs/>
          <w:color w:val="FF3399"/>
          <w:kern w:val="24"/>
        </w:rPr>
        <w:t xml:space="preserve">, M. </w:t>
      </w:r>
      <w:proofErr w:type="spellStart"/>
      <w:r w:rsidRPr="00602606">
        <w:rPr>
          <w:rFonts w:asciiTheme="majorBidi" w:eastAsiaTheme="minorEastAsia" w:hAnsiTheme="majorBidi" w:cstheme="majorBidi"/>
          <w:b/>
          <w:bCs/>
          <w:i/>
          <w:iCs/>
          <w:color w:val="FF3399"/>
          <w:kern w:val="24"/>
        </w:rPr>
        <w:t>xenopi</w:t>
      </w:r>
      <w:proofErr w:type="spellEnd"/>
      <w:r w:rsidRPr="00602606">
        <w:rPr>
          <w:rFonts w:asciiTheme="majorBidi" w:eastAsiaTheme="minorEastAsia" w:hAnsiTheme="majorBidi" w:cstheme="majorBidi"/>
          <w:b/>
          <w:bCs/>
          <w:i/>
          <w:iCs/>
          <w:color w:val="FF3399"/>
          <w:kern w:val="24"/>
        </w:rPr>
        <w:t xml:space="preserve">, mycobactéries du complexe </w:t>
      </w:r>
      <w:proofErr w:type="spellStart"/>
      <w:r w:rsidRPr="00602606">
        <w:rPr>
          <w:rFonts w:asciiTheme="majorBidi" w:eastAsiaTheme="minorEastAsia" w:hAnsiTheme="majorBidi" w:cstheme="majorBidi"/>
          <w:b/>
          <w:bCs/>
          <w:i/>
          <w:iCs/>
          <w:color w:val="FF3399"/>
          <w:kern w:val="24"/>
        </w:rPr>
        <w:t>avium</w:t>
      </w:r>
      <w:proofErr w:type="spellEnd"/>
      <w:r w:rsidRPr="00602606">
        <w:rPr>
          <w:rFonts w:asciiTheme="majorBidi" w:eastAsiaTheme="minorEastAsia" w:hAnsiTheme="majorBidi" w:cstheme="majorBidi"/>
          <w:b/>
          <w:bCs/>
          <w:i/>
          <w:iCs/>
          <w:color w:val="FF3399"/>
          <w:kern w:val="24"/>
        </w:rPr>
        <w:t xml:space="preserve">, M. </w:t>
      </w:r>
      <w:proofErr w:type="spellStart"/>
      <w:r w:rsidRPr="00602606">
        <w:rPr>
          <w:rFonts w:asciiTheme="majorBidi" w:eastAsiaTheme="minorEastAsia" w:hAnsiTheme="majorBidi" w:cstheme="majorBidi"/>
          <w:b/>
          <w:bCs/>
          <w:i/>
          <w:iCs/>
          <w:color w:val="FF3399"/>
          <w:kern w:val="24"/>
        </w:rPr>
        <w:t>simiae</w:t>
      </w:r>
      <w:proofErr w:type="spellEnd"/>
      <w:r w:rsidRPr="00602606">
        <w:rPr>
          <w:rFonts w:asciiTheme="majorBidi" w:eastAsiaTheme="minorEastAsia" w:hAnsiTheme="majorBidi" w:cstheme="majorBidi"/>
          <w:b/>
          <w:bCs/>
          <w:i/>
          <w:iCs/>
          <w:color w:val="FF3399"/>
          <w:kern w:val="24"/>
        </w:rPr>
        <w:t xml:space="preserve">, M. </w:t>
      </w:r>
      <w:proofErr w:type="spellStart"/>
      <w:r w:rsidRPr="00602606">
        <w:rPr>
          <w:rFonts w:asciiTheme="majorBidi" w:eastAsiaTheme="minorEastAsia" w:hAnsiTheme="majorBidi" w:cstheme="majorBidi"/>
          <w:b/>
          <w:bCs/>
          <w:i/>
          <w:iCs/>
          <w:color w:val="FF3399"/>
          <w:kern w:val="24"/>
        </w:rPr>
        <w:t>malmoense</w:t>
      </w:r>
      <w:proofErr w:type="spellEnd"/>
      <w:r w:rsidRPr="00602606">
        <w:rPr>
          <w:rFonts w:asciiTheme="majorBidi" w:eastAsiaTheme="minorEastAsia" w:hAnsiTheme="majorBidi" w:cstheme="majorBidi"/>
          <w:b/>
          <w:bCs/>
          <w:i/>
          <w:iCs/>
          <w:color w:val="FF3399"/>
          <w:kern w:val="24"/>
        </w:rPr>
        <w:t xml:space="preserve">, M. </w:t>
      </w:r>
      <w:proofErr w:type="spellStart"/>
      <w:r w:rsidRPr="00602606">
        <w:rPr>
          <w:rFonts w:asciiTheme="majorBidi" w:eastAsiaTheme="minorEastAsia" w:hAnsiTheme="majorBidi" w:cstheme="majorBidi"/>
          <w:b/>
          <w:bCs/>
          <w:i/>
          <w:iCs/>
          <w:color w:val="FF3399"/>
          <w:kern w:val="24"/>
        </w:rPr>
        <w:t>szulgai</w:t>
      </w:r>
      <w:proofErr w:type="spellEnd"/>
      <w:r w:rsidRPr="00602606">
        <w:rPr>
          <w:rFonts w:asciiTheme="majorBidi" w:eastAsiaTheme="minorEastAsia" w:hAnsiTheme="majorBidi" w:cstheme="majorBidi"/>
          <w:b/>
          <w:bCs/>
          <w:i/>
          <w:iCs/>
          <w:color w:val="FF3399"/>
          <w:kern w:val="24"/>
        </w:rPr>
        <w:t xml:space="preserve">, M. </w:t>
      </w:r>
      <w:proofErr w:type="spellStart"/>
      <w:r w:rsidRPr="00602606">
        <w:rPr>
          <w:rFonts w:asciiTheme="majorBidi" w:eastAsiaTheme="minorEastAsia" w:hAnsiTheme="majorBidi" w:cstheme="majorBidi"/>
          <w:b/>
          <w:bCs/>
          <w:i/>
          <w:iCs/>
          <w:color w:val="FF3399"/>
          <w:kern w:val="24"/>
        </w:rPr>
        <w:t>fortuitum</w:t>
      </w:r>
      <w:proofErr w:type="spellEnd"/>
      <w:r w:rsidRPr="00602606">
        <w:rPr>
          <w:rFonts w:asciiTheme="majorBidi" w:eastAsiaTheme="minorEastAsia" w:hAnsiTheme="majorBidi" w:cstheme="majorBidi"/>
          <w:b/>
          <w:bCs/>
          <w:i/>
          <w:iCs/>
          <w:color w:val="FF3399"/>
          <w:kern w:val="24"/>
        </w:rPr>
        <w:t xml:space="preserve">, M. </w:t>
      </w:r>
      <w:proofErr w:type="spellStart"/>
      <w:r w:rsidRPr="00602606">
        <w:rPr>
          <w:rFonts w:asciiTheme="majorBidi" w:eastAsiaTheme="minorEastAsia" w:hAnsiTheme="majorBidi" w:cstheme="majorBidi"/>
          <w:b/>
          <w:bCs/>
          <w:i/>
          <w:iCs/>
          <w:color w:val="FF3399"/>
          <w:kern w:val="24"/>
        </w:rPr>
        <w:t>abscessus</w:t>
      </w:r>
      <w:proofErr w:type="spellEnd"/>
      <w:r w:rsidRPr="00602606">
        <w:rPr>
          <w:rFonts w:asciiTheme="majorBidi" w:eastAsiaTheme="minorEastAsia" w:hAnsiTheme="majorBidi" w:cstheme="majorBidi"/>
          <w:b/>
          <w:bCs/>
          <w:i/>
          <w:iCs/>
          <w:color w:val="000000" w:themeColor="text1"/>
          <w:kern w:val="24"/>
        </w:rPr>
        <w:t xml:space="preserve">. </w:t>
      </w:r>
    </w:p>
    <w:p w:rsidR="004B1EEB" w:rsidRPr="00602606" w:rsidRDefault="004B1EEB" w:rsidP="004B1EEB">
      <w:pPr>
        <w:pStyle w:val="Paragraphedeliste"/>
        <w:numPr>
          <w:ilvl w:val="0"/>
          <w:numId w:val="2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La clinique et la radiologie évoquent la tuberculose</w:t>
      </w:r>
    </w:p>
    <w:p w:rsidR="004B1EEB" w:rsidRPr="00602606" w:rsidRDefault="004B1EEB" w:rsidP="004B1EEB">
      <w:pPr>
        <w:pStyle w:val="Paragraphedeliste"/>
        <w:numPr>
          <w:ilvl w:val="0"/>
          <w:numId w:val="2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un diagnostic différentiel s’impose</w:t>
      </w:r>
    </w:p>
    <w:p w:rsidR="004B1EEB" w:rsidRPr="00602606" w:rsidRDefault="004B1EEB" w:rsidP="004B1EEB">
      <w:pPr>
        <w:pStyle w:val="NormalWeb"/>
        <w:numPr>
          <w:ilvl w:val="0"/>
          <w:numId w:val="15"/>
        </w:numPr>
        <w:spacing w:before="150" w:beforeAutospacing="0" w:after="0" w:afterAutospacing="0" w:line="276" w:lineRule="auto"/>
        <w:rPr>
          <w:rFonts w:asciiTheme="majorBidi" w:hAnsiTheme="majorBidi" w:cstheme="majorBidi"/>
        </w:rPr>
      </w:pPr>
      <w:proofErr w:type="spellStart"/>
      <w:r w:rsidRPr="00602606"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>Mycobactérioses</w:t>
      </w:r>
      <w:proofErr w:type="spellEnd"/>
      <w:r w:rsidRPr="00602606"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 xml:space="preserve"> ganglionnaires</w:t>
      </w:r>
      <w:r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 xml:space="preserve"> </w:t>
      </w:r>
      <w:r w:rsidRPr="00602606"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>:</w:t>
      </w:r>
    </w:p>
    <w:p w:rsidR="004B1EEB" w:rsidRPr="00602606" w:rsidRDefault="004B1EEB" w:rsidP="004B1EEB">
      <w:pPr>
        <w:pStyle w:val="Paragraphedeliste"/>
        <w:numPr>
          <w:ilvl w:val="0"/>
          <w:numId w:val="3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Ces infections affectent les enfants de moins de 8 ans</w:t>
      </w:r>
    </w:p>
    <w:p w:rsidR="004B1EEB" w:rsidRPr="00602606" w:rsidRDefault="004B1EEB" w:rsidP="004B1EEB">
      <w:pPr>
        <w:pStyle w:val="Paragraphedeliste"/>
        <w:numPr>
          <w:ilvl w:val="0"/>
          <w:numId w:val="3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Adénites froides dont la porte d’entrée peut être </w:t>
      </w:r>
      <w:proofErr w:type="spellStart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oro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-pharyngée et dont le siège cervical, sous mental est remarquable</w:t>
      </w:r>
    </w:p>
    <w:p w:rsidR="004B1EEB" w:rsidRPr="00602606" w:rsidRDefault="004B1EEB" w:rsidP="004B1EEB">
      <w:pPr>
        <w:pStyle w:val="Paragraphedeliste"/>
        <w:numPr>
          <w:ilvl w:val="0"/>
          <w:numId w:val="3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Evolution bénigne, sans autre séquelle qu’une cicatrice de fistulisation</w:t>
      </w:r>
    </w:p>
    <w:p w:rsidR="004B1EEB" w:rsidRPr="00602606" w:rsidRDefault="004B1EEB" w:rsidP="004B1EEB">
      <w:pPr>
        <w:pStyle w:val="Paragraphedeliste"/>
        <w:numPr>
          <w:ilvl w:val="0"/>
          <w:numId w:val="3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scrofulaceum</w:t>
      </w:r>
      <w:proofErr w:type="spellEnd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est la + fréquente</w:t>
      </w:r>
    </w:p>
    <w:p w:rsidR="004B1EEB" w:rsidRPr="00435F99" w:rsidRDefault="004B1EEB" w:rsidP="004B1EEB">
      <w:pPr>
        <w:pStyle w:val="Paragraphedeliste"/>
        <w:numPr>
          <w:ilvl w:val="0"/>
          <w:numId w:val="3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avium-intracellulare</w:t>
      </w:r>
      <w:proofErr w:type="spellEnd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touche les enfants plus âgés et la localisation est variée</w:t>
      </w:r>
    </w:p>
    <w:p w:rsidR="004B1EEB" w:rsidRPr="00602606" w:rsidRDefault="004B1EEB" w:rsidP="004B1EEB">
      <w:pPr>
        <w:pStyle w:val="Paragraphedeliste"/>
        <w:spacing w:line="276" w:lineRule="auto"/>
        <w:rPr>
          <w:rFonts w:asciiTheme="majorBidi" w:hAnsiTheme="majorBidi" w:cstheme="majorBidi"/>
        </w:rPr>
      </w:pPr>
    </w:p>
    <w:p w:rsidR="004B1EEB" w:rsidRPr="00435F99" w:rsidRDefault="004B1EEB" w:rsidP="004B1EEB">
      <w:pPr>
        <w:pStyle w:val="Paragraphedeliste"/>
        <w:numPr>
          <w:ilvl w:val="0"/>
          <w:numId w:val="15"/>
        </w:numPr>
        <w:spacing w:line="276" w:lineRule="auto"/>
        <w:rPr>
          <w:rFonts w:asciiTheme="majorBidi" w:hAnsiTheme="majorBidi" w:cstheme="majorBidi"/>
        </w:rPr>
      </w:pPr>
      <w:r w:rsidRPr="00435F99"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>Infections cutanées, des tissus mous</w:t>
      </w:r>
    </w:p>
    <w:p w:rsidR="004B1EEB" w:rsidRPr="00602606" w:rsidRDefault="004B1EEB" w:rsidP="004B1EEB">
      <w:pPr>
        <w:pStyle w:val="Paragraphedeliste"/>
        <w:numPr>
          <w:ilvl w:val="0"/>
          <w:numId w:val="3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II s'agit </w:t>
      </w:r>
      <w:r w:rsidRPr="00602606">
        <w:rPr>
          <w:rFonts w:asciiTheme="majorBidi" w:eastAsiaTheme="minorEastAsia" w:hAnsiTheme="majorBidi" w:cstheme="majorBidi"/>
          <w:color w:val="FF3399"/>
          <w:kern w:val="24"/>
          <w:u w:val="single"/>
        </w:rPr>
        <w:t xml:space="preserve">d'ulcérations cutanées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(</w:t>
      </w:r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ulcérans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)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: survenant dans un contexte de séjour rural en pays tropical, </w:t>
      </w:r>
    </w:p>
    <w:p w:rsidR="004B1EEB" w:rsidRPr="00602606" w:rsidRDefault="004B1EEB" w:rsidP="004B1EEB">
      <w:pPr>
        <w:pStyle w:val="Paragraphedeliste"/>
        <w:numPr>
          <w:ilvl w:val="0"/>
          <w:numId w:val="3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de </w:t>
      </w:r>
      <w:r w:rsidRPr="00602606">
        <w:rPr>
          <w:rFonts w:asciiTheme="majorBidi" w:eastAsiaTheme="minorEastAsia" w:hAnsiTheme="majorBidi" w:cstheme="majorBidi"/>
          <w:color w:val="FF3399"/>
          <w:kern w:val="24"/>
          <w:u w:val="single"/>
        </w:rPr>
        <w:t xml:space="preserve">granulomes chroniques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(</w:t>
      </w:r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marinum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)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: survenant dans un contexte d'aquariophilie ou de contacts avec des poissons ou des crustacés, </w:t>
      </w:r>
    </w:p>
    <w:p w:rsidR="004B1EEB" w:rsidRPr="00602606" w:rsidRDefault="004B1EEB" w:rsidP="004B1EEB">
      <w:pPr>
        <w:pStyle w:val="Paragraphedeliste"/>
        <w:numPr>
          <w:ilvl w:val="0"/>
          <w:numId w:val="3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FF3399"/>
          <w:kern w:val="24"/>
          <w:u w:val="single"/>
        </w:rPr>
        <w:t>d'abcès localisés</w:t>
      </w:r>
      <w:r w:rsidRPr="00602606">
        <w:rPr>
          <w:rFonts w:asciiTheme="majorBidi" w:eastAsiaTheme="minorEastAsia" w:hAnsiTheme="majorBidi" w:cstheme="majorBidi"/>
          <w:color w:val="FF3399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secondaires à des injections médicamenteuses (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M.fortuitum-chelonae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plus rarement </w:t>
      </w:r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abscessus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, parfois </w:t>
      </w:r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xenopi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).</w:t>
      </w:r>
    </w:p>
    <w:p w:rsidR="004B1EEB" w:rsidRPr="008512D3" w:rsidRDefault="004B1EEB" w:rsidP="004B1EEB">
      <w:pPr>
        <w:pStyle w:val="Paragraphedeliste"/>
        <w:numPr>
          <w:ilvl w:val="0"/>
          <w:numId w:val="3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haemophilum</w:t>
      </w:r>
      <w:proofErr w:type="spellEnd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et </w:t>
      </w:r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szulgai</w:t>
      </w:r>
      <w:proofErr w:type="spellEnd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ont également été trouvés dans ces localisations.</w:t>
      </w:r>
    </w:p>
    <w:p w:rsidR="004B1EEB" w:rsidRPr="008512D3" w:rsidRDefault="004B1EEB" w:rsidP="004B1EEB">
      <w:pPr>
        <w:pStyle w:val="Paragraphedeliste"/>
        <w:spacing w:line="276" w:lineRule="auto"/>
        <w:rPr>
          <w:rFonts w:asciiTheme="majorBidi" w:hAnsiTheme="majorBidi" w:cstheme="majorBidi"/>
        </w:rPr>
      </w:pPr>
    </w:p>
    <w:p w:rsidR="004B1EEB" w:rsidRPr="00602606" w:rsidRDefault="004B1EEB" w:rsidP="004B1EEB">
      <w:pPr>
        <w:pStyle w:val="Paragraphedeliste"/>
        <w:spacing w:line="276" w:lineRule="auto"/>
        <w:jc w:val="center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23907DB5" wp14:editId="79335EEB">
            <wp:extent cx="2753152" cy="1000125"/>
            <wp:effectExtent l="0" t="0" r="9525" b="0"/>
            <wp:docPr id="2" name="Picture 2" descr="http://www.microbes-edu.org/etudiant/imgmyco/cut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microbes-edu.org/etudiant/imgmyco/cuta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07" cy="10075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B1EEB" w:rsidRPr="00602606" w:rsidRDefault="004B1EEB" w:rsidP="004B1EEB">
      <w:pPr>
        <w:pStyle w:val="NormalWeb"/>
        <w:numPr>
          <w:ilvl w:val="0"/>
          <w:numId w:val="15"/>
        </w:numPr>
        <w:spacing w:before="150" w:beforeAutospacing="0" w:after="0" w:afterAutospacing="0"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>Infections ostéo-articulaires</w:t>
      </w:r>
      <w:r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> :</w:t>
      </w:r>
      <w:r w:rsidRPr="00602606"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consécutives à des interventions chirurgicales ou post-traumatiques : </w:t>
      </w:r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MAC,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M.kansasii</w:t>
      </w:r>
      <w:proofErr w:type="spellEnd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, 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xenopi</w:t>
      </w:r>
      <w:proofErr w:type="spellEnd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, 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scrofulaceum</w:t>
      </w:r>
      <w:proofErr w:type="spellEnd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, 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fortuitum</w:t>
      </w:r>
      <w:proofErr w:type="spellEnd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, M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peregrinum</w:t>
      </w:r>
      <w:proofErr w:type="spellEnd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voire</w:t>
      </w:r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 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terrae</w:t>
      </w:r>
      <w:proofErr w:type="spellEnd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.  </w:t>
      </w:r>
    </w:p>
    <w:p w:rsidR="004B1EEB" w:rsidRPr="00602606" w:rsidRDefault="004B1EEB" w:rsidP="004B1EEB">
      <w:pPr>
        <w:pStyle w:val="NormalWeb"/>
        <w:numPr>
          <w:ilvl w:val="0"/>
          <w:numId w:val="15"/>
        </w:numPr>
        <w:spacing w:before="150" w:beforeAutospacing="0" w:after="0" w:afterAutospacing="0"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 xml:space="preserve">Infections généralisées </w:t>
      </w:r>
    </w:p>
    <w:p w:rsidR="004B1EEB" w:rsidRPr="00602606" w:rsidRDefault="004B1EEB" w:rsidP="004B1EEB">
      <w:pPr>
        <w:pStyle w:val="NormalWeb"/>
        <w:spacing w:before="150" w:beforeAutospacing="0" w:after="0" w:afterAutospacing="0"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Ne surviennent que dans un contexte d'immunodépression profonde de type cellulaire : </w:t>
      </w:r>
      <w:r w:rsidRPr="00602606">
        <w:rPr>
          <w:rFonts w:asciiTheme="majorBidi" w:eastAsiaTheme="minorEastAsia" w:hAnsiTheme="majorBidi" w:cstheme="majorBidi"/>
          <w:color w:val="FF3399"/>
          <w:kern w:val="24"/>
          <w:u w:val="single"/>
        </w:rPr>
        <w:t>sida avec &lt; 50 CD4/mm3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, traitement immunosuppresseur prolongé dans le cadre de transplantions d'organes, corticothérapie à fortes doses au long cours.</w:t>
      </w:r>
    </w:p>
    <w:p w:rsidR="004B1EEB" w:rsidRPr="00602606" w:rsidRDefault="004B1EEB" w:rsidP="004B1EEB">
      <w:pPr>
        <w:pStyle w:val="Paragraphedeliste"/>
        <w:numPr>
          <w:ilvl w:val="0"/>
          <w:numId w:val="4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Espèces en cause : principalement </w:t>
      </w:r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avium-intracellulare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, plus rarement </w:t>
      </w:r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simiae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, </w:t>
      </w:r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kansasii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, </w:t>
      </w:r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haemophilum</w:t>
      </w:r>
      <w:proofErr w:type="spellEnd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et </w:t>
      </w:r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FF3399"/>
          <w:kern w:val="24"/>
        </w:rPr>
        <w:t>genavense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.</w:t>
      </w:r>
    </w:p>
    <w:p w:rsidR="004B1EEB" w:rsidRPr="00602606" w:rsidRDefault="004B1EEB" w:rsidP="004B1EEB">
      <w:pPr>
        <w:pStyle w:val="Paragraphedeliste"/>
        <w:numPr>
          <w:ilvl w:val="0"/>
          <w:numId w:val="4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Les signes cliniques sont des signes généraux d'infection : fièvre, sueurs, altération de l'état général, splénomégalie.</w:t>
      </w:r>
    </w:p>
    <w:p w:rsidR="004B1EEB" w:rsidRPr="00435F99" w:rsidRDefault="004B1EEB" w:rsidP="004B1EEB">
      <w:pPr>
        <w:pStyle w:val="Paragraphedeliste"/>
        <w:numPr>
          <w:ilvl w:val="0"/>
          <w:numId w:val="10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35F99">
        <w:rPr>
          <w:rFonts w:asciiTheme="majorBidi" w:eastAsiaTheme="minorEastAsia" w:hAnsiTheme="majorBidi" w:cstheme="majorBidi"/>
          <w:b/>
          <w:bCs/>
          <w:color w:val="FF0000"/>
          <w:kern w:val="24"/>
          <w:sz w:val="28"/>
          <w:szCs w:val="28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Diagnostic :</w:t>
      </w:r>
    </w:p>
    <w:p w:rsidR="004B1EEB" w:rsidRPr="00435F99" w:rsidRDefault="004B1EEB" w:rsidP="004B1EEB">
      <w:pPr>
        <w:pStyle w:val="Paragraphedeliste"/>
        <w:spacing w:line="276" w:lineRule="auto"/>
        <w:rPr>
          <w:rFonts w:asciiTheme="majorBidi" w:hAnsiTheme="majorBidi" w:cstheme="majorBidi"/>
        </w:rPr>
      </w:pPr>
    </w:p>
    <w:p w:rsidR="004B1EEB" w:rsidRPr="00435F99" w:rsidRDefault="004B1EEB" w:rsidP="004B1EEB">
      <w:pPr>
        <w:pStyle w:val="Paragraphedeliste"/>
        <w:numPr>
          <w:ilvl w:val="0"/>
          <w:numId w:val="16"/>
        </w:numPr>
        <w:spacing w:line="276" w:lineRule="auto"/>
        <w:rPr>
          <w:rFonts w:asciiTheme="majorBidi" w:hAnsiTheme="majorBidi" w:cstheme="majorBidi"/>
        </w:rPr>
      </w:pPr>
      <w:proofErr w:type="gramStart"/>
      <w:r w:rsidRPr="00435F99"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>Prélèvements:</w:t>
      </w:r>
      <w:proofErr w:type="gramEnd"/>
    </w:p>
    <w:p w:rsidR="004B1EEB" w:rsidRPr="00602606" w:rsidRDefault="004B1EEB" w:rsidP="004B1EEB">
      <w:pPr>
        <w:pStyle w:val="Paragraphedeliste"/>
        <w:numPr>
          <w:ilvl w:val="0"/>
          <w:numId w:val="5"/>
        </w:numPr>
        <w:spacing w:line="276" w:lineRule="auto"/>
        <w:rPr>
          <w:rFonts w:asciiTheme="majorBidi" w:hAnsiTheme="majorBidi" w:cstheme="majorBidi"/>
        </w:rPr>
      </w:pPr>
      <w:proofErr w:type="spellStart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Mycobactérioses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pulmonaires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: expectoration, tubage gastrique, LBA</w:t>
      </w:r>
      <w:proofErr w:type="gramStart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..</w:t>
      </w:r>
      <w:proofErr w:type="gramEnd"/>
    </w:p>
    <w:p w:rsidR="004B1EEB" w:rsidRPr="00602606" w:rsidRDefault="004B1EEB" w:rsidP="004B1EEB">
      <w:pPr>
        <w:pStyle w:val="Paragraphedeliste"/>
        <w:numPr>
          <w:ilvl w:val="0"/>
          <w:numId w:val="5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lastRenderedPageBreak/>
        <w:t>Autres prélèvements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: Fonction de la localisation</w:t>
      </w:r>
    </w:p>
    <w:p w:rsidR="004B1EEB" w:rsidRPr="00602606" w:rsidRDefault="004B1EEB" w:rsidP="004B1EEB">
      <w:pPr>
        <w:pStyle w:val="Paragraphedeliste"/>
        <w:numPr>
          <w:ilvl w:val="1"/>
          <w:numId w:val="5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Ponction ou biopsie ganglionnaire</w:t>
      </w:r>
    </w:p>
    <w:p w:rsidR="004B1EEB" w:rsidRPr="00602606" w:rsidRDefault="004B1EEB" w:rsidP="004B1EEB">
      <w:pPr>
        <w:pStyle w:val="Paragraphedeliste"/>
        <w:numPr>
          <w:ilvl w:val="1"/>
          <w:numId w:val="5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Biopsie cutanée</w:t>
      </w:r>
    </w:p>
    <w:p w:rsidR="004B1EEB" w:rsidRPr="00602606" w:rsidRDefault="004B1EEB" w:rsidP="004B1EEB">
      <w:pPr>
        <w:pStyle w:val="Paragraphedeliste"/>
        <w:numPr>
          <w:ilvl w:val="1"/>
          <w:numId w:val="5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Ponction ou biopsie osseuse</w:t>
      </w:r>
    </w:p>
    <w:p w:rsidR="004B1EEB" w:rsidRPr="00435F99" w:rsidRDefault="004B1EEB" w:rsidP="004B1EEB">
      <w:pPr>
        <w:pStyle w:val="Paragraphedeliste"/>
        <w:numPr>
          <w:ilvl w:val="0"/>
          <w:numId w:val="5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Au cours des infections disséminées, les mycobactéries sont recherchées dans le sang, la moelle osseuse et d’autres sites fréquemment atteints (ganglion, os)</w:t>
      </w:r>
    </w:p>
    <w:p w:rsidR="004B1EEB" w:rsidRPr="00602606" w:rsidRDefault="004B1EEB" w:rsidP="004B1EEB">
      <w:pPr>
        <w:pStyle w:val="Paragraphedeliste"/>
        <w:spacing w:line="276" w:lineRule="auto"/>
        <w:rPr>
          <w:rFonts w:asciiTheme="majorBidi" w:hAnsiTheme="majorBidi" w:cstheme="majorBidi"/>
        </w:rPr>
      </w:pPr>
    </w:p>
    <w:p w:rsidR="004B1EEB" w:rsidRPr="00602606" w:rsidRDefault="004B1EEB" w:rsidP="004B1EEB">
      <w:pPr>
        <w:pStyle w:val="Paragraphedeliste"/>
        <w:numPr>
          <w:ilvl w:val="0"/>
          <w:numId w:val="16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>Examen microscopique</w:t>
      </w:r>
      <w:r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 xml:space="preserve"> </w:t>
      </w:r>
      <w:r w:rsidRPr="00602606"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>:</w:t>
      </w:r>
    </w:p>
    <w:p w:rsidR="004B1EEB" w:rsidRPr="00602606" w:rsidRDefault="004B1EEB" w:rsidP="004B1EEB">
      <w:pPr>
        <w:pStyle w:val="Paragraphedeliste"/>
        <w:numPr>
          <w:ilvl w:val="0"/>
          <w:numId w:val="5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Il se pratique comme pour la recherche de bacilles de la tuberculose.</w:t>
      </w:r>
    </w:p>
    <w:p w:rsidR="004B1EEB" w:rsidRPr="00602606" w:rsidRDefault="004B1EEB" w:rsidP="004B1EEB">
      <w:pPr>
        <w:pStyle w:val="Paragraphedeliste"/>
        <w:numPr>
          <w:ilvl w:val="0"/>
          <w:numId w:val="5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BAAR, la MEE se fait par coloration de </w:t>
      </w:r>
      <w:proofErr w:type="spellStart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Ziehl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ou par fluorescence</w:t>
      </w:r>
    </w:p>
    <w:p w:rsidR="004B1EEB" w:rsidRPr="00602606" w:rsidRDefault="004B1EEB" w:rsidP="004B1EEB">
      <w:pPr>
        <w:pStyle w:val="Paragraphedeliste"/>
        <w:numPr>
          <w:ilvl w:val="0"/>
          <w:numId w:val="5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La morphologie permet rarement de les distinguer des Mycobactéries tuberculeuses</w:t>
      </w:r>
    </w:p>
    <w:p w:rsidR="004B1EEB" w:rsidRPr="00F27525" w:rsidRDefault="004B1EEB" w:rsidP="004B1EEB">
      <w:pPr>
        <w:pStyle w:val="Paragraphedeliste"/>
        <w:numPr>
          <w:ilvl w:val="0"/>
          <w:numId w:val="5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3360" behindDoc="0" locked="0" layoutInCell="1" allowOverlap="1" wp14:anchorId="42CD593A" wp14:editId="5AE4E9A6">
            <wp:simplePos x="0" y="0"/>
            <wp:positionH relativeFrom="page">
              <wp:posOffset>5187315</wp:posOffset>
            </wp:positionH>
            <wp:positionV relativeFrom="paragraph">
              <wp:posOffset>496570</wp:posOffset>
            </wp:positionV>
            <wp:extent cx="1946910" cy="12573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1312" behindDoc="0" locked="0" layoutInCell="1" allowOverlap="1" wp14:anchorId="1AE46E82" wp14:editId="4870259A">
            <wp:simplePos x="0" y="0"/>
            <wp:positionH relativeFrom="column">
              <wp:posOffset>2043430</wp:posOffset>
            </wp:positionH>
            <wp:positionV relativeFrom="paragraph">
              <wp:posOffset>521335</wp:posOffset>
            </wp:positionV>
            <wp:extent cx="2037080" cy="1228090"/>
            <wp:effectExtent l="0" t="0" r="127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59264" behindDoc="0" locked="0" layoutInCell="1" allowOverlap="1" wp14:anchorId="115F5D84" wp14:editId="129338E5">
            <wp:simplePos x="0" y="0"/>
            <wp:positionH relativeFrom="column">
              <wp:posOffset>-490220</wp:posOffset>
            </wp:positionH>
            <wp:positionV relativeFrom="paragraph">
              <wp:posOffset>553085</wp:posOffset>
            </wp:positionV>
            <wp:extent cx="2266950" cy="1195070"/>
            <wp:effectExtent l="0" t="0" r="0" b="508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Après coloration de </w:t>
      </w:r>
      <w:proofErr w:type="spellStart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Ziehl-Neelsen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, l'aspect des mycobactéries atypiques est parfois évocateur de certaines espèces :</w:t>
      </w:r>
    </w:p>
    <w:p w:rsidR="004B1EEB" w:rsidRPr="00602606" w:rsidRDefault="004B1EEB" w:rsidP="004B1EEB">
      <w:pPr>
        <w:pStyle w:val="Paragraphedeliste"/>
        <w:spacing w:line="276" w:lineRule="auto"/>
        <w:rPr>
          <w:rFonts w:asciiTheme="majorBidi" w:hAnsiTheme="majorBidi" w:cstheme="majorBidi"/>
        </w:rPr>
      </w:pPr>
      <w:r w:rsidRPr="00F2752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FA558D" wp14:editId="02B0CA15">
                <wp:simplePos x="0" y="0"/>
                <wp:positionH relativeFrom="page">
                  <wp:posOffset>5000625</wp:posOffset>
                </wp:positionH>
                <wp:positionV relativeFrom="paragraph">
                  <wp:posOffset>1360805</wp:posOffset>
                </wp:positionV>
                <wp:extent cx="2457450" cy="819150"/>
                <wp:effectExtent l="0" t="0" r="0" b="0"/>
                <wp:wrapNone/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5745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B1EEB" w:rsidRPr="0015650C" w:rsidRDefault="004B1EEB" w:rsidP="004B1EEB">
                            <w:pPr>
                              <w:pStyle w:val="Paragraphedeliste"/>
                              <w:spacing w:line="276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eastAsiaTheme="minorEastAsia" w:hAnsiTheme="majorBidi" w:cstheme="majorBidi"/>
                                <w:b/>
                                <w:bCs/>
                                <w:i/>
                                <w:iCs/>
                                <w:color w:val="FF3399"/>
                                <w:kern w:val="24"/>
                              </w:rPr>
                              <w:t xml:space="preserve">    </w:t>
                            </w:r>
                            <w:r w:rsidRPr="00602606">
                              <w:rPr>
                                <w:rFonts w:asciiTheme="majorBidi" w:eastAsiaTheme="minorEastAsia" w:hAnsiTheme="majorBidi" w:cstheme="majorBidi"/>
                                <w:b/>
                                <w:bCs/>
                                <w:i/>
                                <w:iCs/>
                                <w:color w:val="FF3399"/>
                                <w:kern w:val="24"/>
                              </w:rPr>
                              <w:t xml:space="preserve">M. </w:t>
                            </w:r>
                            <w:proofErr w:type="spellStart"/>
                            <w:r w:rsidRPr="00602606">
                              <w:rPr>
                                <w:rFonts w:asciiTheme="majorBidi" w:eastAsiaTheme="minorEastAsia" w:hAnsiTheme="majorBidi" w:cstheme="majorBidi"/>
                                <w:b/>
                                <w:bCs/>
                                <w:i/>
                                <w:iCs/>
                                <w:color w:val="FF3399"/>
                                <w:kern w:val="24"/>
                              </w:rPr>
                              <w:t>kansasii</w:t>
                            </w:r>
                            <w:proofErr w:type="spellEnd"/>
                            <w:r w:rsidRPr="00602606">
                              <w:rPr>
                                <w:rFonts w:asciiTheme="majorBidi" w:eastAsiaTheme="minorEastAsia" w:hAnsiTheme="majorBidi" w:cstheme="majorBidi"/>
                                <w:b/>
                                <w:bCs/>
                                <w:color w:val="FF3399"/>
                                <w:kern w:val="24"/>
                              </w:rPr>
                              <w:t xml:space="preserve"> </w:t>
                            </w:r>
                          </w:p>
                          <w:p w:rsidR="004B1EEB" w:rsidRPr="0015650C" w:rsidRDefault="004B1EEB" w:rsidP="004B1EE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15650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BAAR épais granuleux (zébrés)</w:t>
                            </w:r>
                            <w:r w:rsidRPr="001565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15650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« en échelles »</w:t>
                            </w:r>
                            <w:r w:rsidRPr="001565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i</w:t>
                            </w:r>
                            <w:r w:rsidRPr="0015650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solés ou en amas lâches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A558D" id="_x0000_t202" coordsize="21600,21600" o:spt="202" path="m,l,21600r21600,l21600,xe">
                <v:stroke joinstyle="miter"/>
                <v:path gradientshapeok="t" o:connecttype="rect"/>
              </v:shapetype>
              <v:shape id="Rectangle 4" o:spid="_x0000_s1026" type="#_x0000_t202" style="position:absolute;left:0;text-align:left;margin-left:393.75pt;margin-top:107.15pt;width:193.5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" filled="f" stroked="f">
                <v:textbox>
                  <w:txbxContent>
                    <w:p w:rsidR="004B1EEB" w:rsidRPr="0015650C" w:rsidRDefault="004B1EEB" w:rsidP="004B1EEB">
                      <w:pPr>
                        <w:pStyle w:val="Paragraphedeliste"/>
                        <w:spacing w:line="276" w:lineRule="auto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eastAsiaTheme="minorEastAsia" w:hAnsiTheme="majorBidi" w:cstheme="majorBidi"/>
                          <w:b/>
                          <w:bCs/>
                          <w:i/>
                          <w:iCs/>
                          <w:color w:val="FF3399"/>
                          <w:kern w:val="24"/>
                        </w:rPr>
                        <w:t xml:space="preserve">    </w:t>
                      </w:r>
                      <w:r w:rsidRPr="00602606">
                        <w:rPr>
                          <w:rFonts w:asciiTheme="majorBidi" w:eastAsiaTheme="minorEastAsia" w:hAnsiTheme="majorBidi" w:cstheme="majorBidi"/>
                          <w:b/>
                          <w:bCs/>
                          <w:i/>
                          <w:iCs/>
                          <w:color w:val="FF3399"/>
                          <w:kern w:val="24"/>
                        </w:rPr>
                        <w:t xml:space="preserve">M. </w:t>
                      </w:r>
                      <w:proofErr w:type="spellStart"/>
                      <w:r w:rsidRPr="00602606">
                        <w:rPr>
                          <w:rFonts w:asciiTheme="majorBidi" w:eastAsiaTheme="minorEastAsia" w:hAnsiTheme="majorBidi" w:cstheme="majorBidi"/>
                          <w:b/>
                          <w:bCs/>
                          <w:i/>
                          <w:iCs/>
                          <w:color w:val="FF3399"/>
                          <w:kern w:val="24"/>
                        </w:rPr>
                        <w:t>kansasii</w:t>
                      </w:r>
                      <w:proofErr w:type="spellEnd"/>
                      <w:r w:rsidRPr="00602606">
                        <w:rPr>
                          <w:rFonts w:asciiTheme="majorBidi" w:eastAsiaTheme="minorEastAsia" w:hAnsiTheme="majorBidi" w:cstheme="majorBidi"/>
                          <w:b/>
                          <w:bCs/>
                          <w:color w:val="FF3399"/>
                          <w:kern w:val="24"/>
                        </w:rPr>
                        <w:t xml:space="preserve"> </w:t>
                      </w:r>
                    </w:p>
                    <w:p w:rsidR="004B1EEB" w:rsidRPr="0015650C" w:rsidRDefault="004B1EEB" w:rsidP="004B1EE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8"/>
                          <w:szCs w:val="8"/>
                        </w:rPr>
                      </w:pPr>
                      <w:r w:rsidRPr="0015650C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>BAAR épais granuleux (zébrés)</w:t>
                      </w:r>
                      <w:r w:rsidRPr="0015650C">
                        <w:rPr>
                          <w:rFonts w:asciiTheme="majorBidi" w:hAnsiTheme="majorBidi" w:cstheme="majorBidi"/>
                          <w:b/>
                          <w:bCs/>
                          <w:sz w:val="8"/>
                          <w:szCs w:val="8"/>
                        </w:rPr>
                        <w:t xml:space="preserve"> </w:t>
                      </w:r>
                      <w:r w:rsidRPr="0015650C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>« en échelles »</w:t>
                      </w:r>
                      <w:r w:rsidRPr="0015650C">
                        <w:rPr>
                          <w:rFonts w:asciiTheme="majorBidi" w:hAnsiTheme="majorBidi" w:cstheme="majorBidi"/>
                          <w:b/>
                          <w:bCs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>i</w:t>
                      </w:r>
                      <w:r w:rsidRPr="0015650C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>solés ou en amas lâches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2752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454286" wp14:editId="2315DFAE">
                <wp:simplePos x="0" y="0"/>
                <wp:positionH relativeFrom="page">
                  <wp:posOffset>2905125</wp:posOffset>
                </wp:positionH>
                <wp:positionV relativeFrom="paragraph">
                  <wp:posOffset>1360805</wp:posOffset>
                </wp:positionV>
                <wp:extent cx="2181225" cy="752475"/>
                <wp:effectExtent l="0" t="0" r="0" b="0"/>
                <wp:wrapNone/>
                <wp:docPr id="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81225" cy="752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B1EEB" w:rsidRPr="00F27525" w:rsidRDefault="004B1EEB" w:rsidP="004B1EEB">
                            <w:pPr>
                              <w:pStyle w:val="Paragraphedeliste"/>
                              <w:spacing w:line="276" w:lineRule="auto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rPr>
                                <w:rFonts w:asciiTheme="majorBidi" w:eastAsiaTheme="minorEastAsia" w:hAnsiTheme="majorBidi" w:cstheme="majorBidi"/>
                                <w:b/>
                                <w:bCs/>
                                <w:i/>
                                <w:iCs/>
                                <w:color w:val="FF3399"/>
                                <w:kern w:val="24"/>
                              </w:rPr>
                              <w:t xml:space="preserve">       </w:t>
                            </w:r>
                            <w:proofErr w:type="spellStart"/>
                            <w:r w:rsidRPr="00602606">
                              <w:rPr>
                                <w:rFonts w:asciiTheme="majorBidi" w:eastAsiaTheme="minorEastAsia" w:hAnsiTheme="majorBidi" w:cstheme="majorBidi"/>
                                <w:b/>
                                <w:bCs/>
                                <w:i/>
                                <w:iCs/>
                                <w:color w:val="FF3399"/>
                                <w:kern w:val="24"/>
                              </w:rPr>
                              <w:t>M.avium</w:t>
                            </w:r>
                            <w:proofErr w:type="spellEnd"/>
                          </w:p>
                          <w:p w:rsidR="004B1EEB" w:rsidRPr="00F27525" w:rsidRDefault="004B1EEB" w:rsidP="004B1EE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F2752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Coloration non</w:t>
                            </w:r>
                            <w:r w:rsidRPr="00F2752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F2752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homogène de formes</w:t>
                            </w:r>
                            <w:r w:rsidRPr="00F2752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</w:t>
                            </w:r>
                            <w:proofErr w:type="spellStart"/>
                            <w:r w:rsidRPr="00F2752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coccobacillaires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54286" id="_x0000_s1027" type="#_x0000_t202" style="position:absolute;left:0;text-align:left;margin-left:228.75pt;margin-top:107.15pt;width:171.7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" filled="f" stroked="f">
                <v:textbox>
                  <w:txbxContent>
                    <w:p w:rsidR="004B1EEB" w:rsidRPr="00F27525" w:rsidRDefault="004B1EEB" w:rsidP="004B1EEB">
                      <w:pPr>
                        <w:pStyle w:val="Paragraphedeliste"/>
                        <w:spacing w:line="276" w:lineRule="auto"/>
                        <w:rPr>
                          <w:rFonts w:asciiTheme="majorBidi" w:hAnsiTheme="majorBidi" w:cstheme="majorBidi"/>
                        </w:rPr>
                      </w:pPr>
                      <w:r>
                        <w:rPr>
                          <w:rFonts w:asciiTheme="majorBidi" w:eastAsiaTheme="minorEastAsia" w:hAnsiTheme="majorBidi" w:cstheme="majorBidi"/>
                          <w:b/>
                          <w:bCs/>
                          <w:i/>
                          <w:iCs/>
                          <w:color w:val="FF3399"/>
                          <w:kern w:val="24"/>
                        </w:rPr>
                        <w:t xml:space="preserve">       </w:t>
                      </w:r>
                      <w:proofErr w:type="spellStart"/>
                      <w:r w:rsidRPr="00602606">
                        <w:rPr>
                          <w:rFonts w:asciiTheme="majorBidi" w:eastAsiaTheme="minorEastAsia" w:hAnsiTheme="majorBidi" w:cstheme="majorBidi"/>
                          <w:b/>
                          <w:bCs/>
                          <w:i/>
                          <w:iCs/>
                          <w:color w:val="FF3399"/>
                          <w:kern w:val="24"/>
                        </w:rPr>
                        <w:t>M.avium</w:t>
                      </w:r>
                      <w:proofErr w:type="spellEnd"/>
                    </w:p>
                    <w:p w:rsidR="004B1EEB" w:rsidRPr="00F27525" w:rsidRDefault="004B1EEB" w:rsidP="004B1EE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8"/>
                          <w:szCs w:val="8"/>
                        </w:rPr>
                      </w:pPr>
                      <w:r w:rsidRPr="00F27525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>Coloration non</w:t>
                      </w:r>
                      <w:r w:rsidRPr="00F27525">
                        <w:rPr>
                          <w:rFonts w:asciiTheme="majorBidi" w:hAnsiTheme="majorBidi" w:cstheme="majorBidi"/>
                          <w:b/>
                          <w:bCs/>
                          <w:sz w:val="8"/>
                          <w:szCs w:val="8"/>
                        </w:rPr>
                        <w:t xml:space="preserve"> </w:t>
                      </w:r>
                      <w:r w:rsidRPr="00F27525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>homogène de formes</w:t>
                      </w:r>
                      <w:r w:rsidRPr="00F27525">
                        <w:rPr>
                          <w:rFonts w:asciiTheme="majorBidi" w:hAnsiTheme="majorBidi" w:cstheme="majorBidi"/>
                          <w:b/>
                          <w:bCs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F27525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>coccobacillaires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F27525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32EE41" wp14:editId="51EAF77F">
                <wp:simplePos x="0" y="0"/>
                <wp:positionH relativeFrom="column">
                  <wp:posOffset>-480060</wp:posOffset>
                </wp:positionH>
                <wp:positionV relativeFrom="paragraph">
                  <wp:posOffset>1379855</wp:posOffset>
                </wp:positionV>
                <wp:extent cx="2266950" cy="561975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2669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B1EEB" w:rsidRPr="00F27525" w:rsidRDefault="004B1EEB" w:rsidP="004B1EEB">
                            <w:pPr>
                              <w:pStyle w:val="Paragraphedeliste"/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eastAsiaTheme="minorEastAsia" w:hAnsiTheme="majorBidi" w:cstheme="majorBidi"/>
                                <w:b/>
                                <w:bCs/>
                                <w:i/>
                                <w:iCs/>
                                <w:color w:val="FF3399"/>
                                <w:kern w:val="24"/>
                              </w:rPr>
                              <w:t xml:space="preserve">       </w:t>
                            </w:r>
                            <w:r w:rsidRPr="00F27525">
                              <w:rPr>
                                <w:rFonts w:asciiTheme="majorBidi" w:eastAsiaTheme="minorEastAsia" w:hAnsiTheme="majorBidi" w:cstheme="majorBidi"/>
                                <w:b/>
                                <w:bCs/>
                                <w:i/>
                                <w:iCs/>
                                <w:color w:val="FF3399"/>
                                <w:kern w:val="24"/>
                              </w:rPr>
                              <w:t xml:space="preserve">M. </w:t>
                            </w:r>
                            <w:proofErr w:type="spellStart"/>
                            <w:r w:rsidRPr="00F27525">
                              <w:rPr>
                                <w:rFonts w:asciiTheme="majorBidi" w:eastAsiaTheme="minorEastAsia" w:hAnsiTheme="majorBidi" w:cstheme="majorBidi"/>
                                <w:b/>
                                <w:bCs/>
                                <w:i/>
                                <w:iCs/>
                                <w:color w:val="FF3399"/>
                                <w:kern w:val="24"/>
                              </w:rPr>
                              <w:t>xenopi</w:t>
                            </w:r>
                            <w:proofErr w:type="spellEnd"/>
                          </w:p>
                          <w:p w:rsidR="004B1EEB" w:rsidRPr="00F27525" w:rsidRDefault="004B1EEB" w:rsidP="004B1EE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F2752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BAAR long et fins</w:t>
                            </w:r>
                            <w:r w:rsidRPr="00F2752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F2752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« chevelus »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2EE41" id="_x0000_s1028" type="#_x0000_t202" style="position:absolute;left:0;text-align:left;margin-left:-37.8pt;margin-top:108.65pt;width:178.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" filled="f" stroked="f">
                <v:textbox>
                  <w:txbxContent>
                    <w:p w:rsidR="004B1EEB" w:rsidRPr="00F27525" w:rsidRDefault="004B1EEB" w:rsidP="004B1EEB">
                      <w:pPr>
                        <w:pStyle w:val="Paragraphedeliste"/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eastAsiaTheme="minorEastAsia" w:hAnsiTheme="majorBidi" w:cstheme="majorBidi"/>
                          <w:b/>
                          <w:bCs/>
                          <w:i/>
                          <w:iCs/>
                          <w:color w:val="FF3399"/>
                          <w:kern w:val="24"/>
                        </w:rPr>
                        <w:t xml:space="preserve">       </w:t>
                      </w:r>
                      <w:r w:rsidRPr="00F27525">
                        <w:rPr>
                          <w:rFonts w:asciiTheme="majorBidi" w:eastAsiaTheme="minorEastAsia" w:hAnsiTheme="majorBidi" w:cstheme="majorBidi"/>
                          <w:b/>
                          <w:bCs/>
                          <w:i/>
                          <w:iCs/>
                          <w:color w:val="FF3399"/>
                          <w:kern w:val="24"/>
                        </w:rPr>
                        <w:t xml:space="preserve">M. </w:t>
                      </w:r>
                      <w:proofErr w:type="spellStart"/>
                      <w:r w:rsidRPr="00F27525">
                        <w:rPr>
                          <w:rFonts w:asciiTheme="majorBidi" w:eastAsiaTheme="minorEastAsia" w:hAnsiTheme="majorBidi" w:cstheme="majorBidi"/>
                          <w:b/>
                          <w:bCs/>
                          <w:i/>
                          <w:iCs/>
                          <w:color w:val="FF3399"/>
                          <w:kern w:val="24"/>
                        </w:rPr>
                        <w:t>xenopi</w:t>
                      </w:r>
                      <w:proofErr w:type="spellEnd"/>
                    </w:p>
                    <w:p w:rsidR="004B1EEB" w:rsidRPr="00F27525" w:rsidRDefault="004B1EEB" w:rsidP="004B1EE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8"/>
                          <w:szCs w:val="8"/>
                        </w:rPr>
                      </w:pPr>
                      <w:r w:rsidRPr="00F27525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>BAAR long et fins</w:t>
                      </w:r>
                      <w:r w:rsidRPr="00F27525">
                        <w:rPr>
                          <w:rFonts w:asciiTheme="majorBidi" w:hAnsiTheme="majorBidi" w:cstheme="majorBidi"/>
                          <w:b/>
                          <w:bCs/>
                          <w:sz w:val="8"/>
                          <w:szCs w:val="8"/>
                        </w:rPr>
                        <w:t xml:space="preserve"> </w:t>
                      </w:r>
                      <w:r w:rsidRPr="00F27525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kern w:val="24"/>
                        </w:rPr>
                        <w:t>« chevelus »</w:t>
                      </w:r>
                    </w:p>
                  </w:txbxContent>
                </v:textbox>
              </v:shape>
            </w:pict>
          </mc:Fallback>
        </mc:AlternateContent>
      </w:r>
    </w:p>
    <w:p w:rsidR="004B1EEB" w:rsidRPr="00F27525" w:rsidRDefault="004B1EEB" w:rsidP="004B1EEB">
      <w:pPr>
        <w:pStyle w:val="Paragraphedeliste"/>
        <w:spacing w:line="276" w:lineRule="auto"/>
        <w:rPr>
          <w:rFonts w:asciiTheme="majorBidi" w:hAnsiTheme="majorBidi" w:cstheme="majorBidi"/>
        </w:rPr>
      </w:pPr>
    </w:p>
    <w:p w:rsidR="004B1EEB" w:rsidRPr="00F27525" w:rsidRDefault="004B1EEB" w:rsidP="004B1EEB">
      <w:pPr>
        <w:pStyle w:val="Paragraphedeliste"/>
        <w:spacing w:line="276" w:lineRule="auto"/>
        <w:rPr>
          <w:rFonts w:asciiTheme="majorBidi" w:hAnsiTheme="majorBidi" w:cstheme="majorBidi"/>
        </w:rPr>
      </w:pPr>
    </w:p>
    <w:p w:rsidR="004B1EEB" w:rsidRPr="0015650C" w:rsidRDefault="004B1EEB" w:rsidP="004B1EEB">
      <w:pPr>
        <w:pStyle w:val="Paragraphedeliste"/>
        <w:spacing w:line="276" w:lineRule="auto"/>
        <w:rPr>
          <w:rFonts w:asciiTheme="majorBidi" w:hAnsiTheme="majorBidi" w:cstheme="majorBidi"/>
        </w:rPr>
      </w:pPr>
    </w:p>
    <w:p w:rsidR="004B1EEB" w:rsidRPr="00602606" w:rsidRDefault="004B1EEB" w:rsidP="004B1EEB">
      <w:pPr>
        <w:pStyle w:val="Paragraphedeliste"/>
        <w:numPr>
          <w:ilvl w:val="0"/>
          <w:numId w:val="16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>Culture</w:t>
      </w:r>
      <w:r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 xml:space="preserve"> </w:t>
      </w:r>
      <w:r w:rsidRPr="00602606"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>:</w:t>
      </w:r>
    </w:p>
    <w:p w:rsidR="004B1EEB" w:rsidRPr="00602606" w:rsidRDefault="004B1EEB" w:rsidP="004B1EEB">
      <w:pPr>
        <w:pStyle w:val="Paragraphedeliste"/>
        <w:numPr>
          <w:ilvl w:val="0"/>
          <w:numId w:val="5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Elle permet d’identifier avec certitude la mycobactérie en cause,</w:t>
      </w:r>
    </w:p>
    <w:p w:rsidR="004B1EEB" w:rsidRPr="00602606" w:rsidRDefault="004B1EEB" w:rsidP="004B1EEB">
      <w:pPr>
        <w:pStyle w:val="Paragraphedeliste"/>
        <w:numPr>
          <w:ilvl w:val="0"/>
          <w:numId w:val="5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Les techniques utilisées sont celles employées pour les bacilles de la tuberculose.</w:t>
      </w:r>
    </w:p>
    <w:p w:rsidR="004B1EEB" w:rsidRPr="00602606" w:rsidRDefault="004B1EEB" w:rsidP="004B1EEB">
      <w:pPr>
        <w:pStyle w:val="Paragraphedeliste"/>
        <w:numPr>
          <w:ilvl w:val="0"/>
          <w:numId w:val="5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ensemencer plusieurs milieux de culture : milieux solides et liquides usuels pour la culture du BK, milieux ordinaires, géloses enrichies en </w:t>
      </w:r>
      <w:proofErr w:type="spellStart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mycobactine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, en citrate de fer ammoniacal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;</w:t>
      </w:r>
    </w:p>
    <w:p w:rsidR="004B1EEB" w:rsidRPr="00602606" w:rsidRDefault="004B1EEB" w:rsidP="004B1EEB">
      <w:pPr>
        <w:pStyle w:val="Paragraphedeliste"/>
        <w:numPr>
          <w:ilvl w:val="0"/>
          <w:numId w:val="5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incuber des milieux de culture à 37 °C, à 30 °C et à 42 °C, car certaines mycobactéries atypiques poussent très mal en </w:t>
      </w:r>
      <w:proofErr w:type="spellStart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primoculture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à 37 °</w:t>
      </w:r>
      <w:proofErr w:type="gramStart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C;</w:t>
      </w:r>
      <w:proofErr w:type="gramEnd"/>
    </w:p>
    <w:p w:rsidR="004B1EEB" w:rsidRPr="00602606" w:rsidRDefault="004B1EEB" w:rsidP="004B1EEB">
      <w:pPr>
        <w:pStyle w:val="NormalWeb"/>
        <w:spacing w:before="150" w:beforeAutospacing="0" w:after="0" w:afterAutospacing="0"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* 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marinum</w:t>
      </w:r>
      <w:proofErr w:type="spellEnd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et </w:t>
      </w:r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ulcerans</w:t>
      </w:r>
      <w:proofErr w:type="spellEnd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ne se développent pas à 37°C</w:t>
      </w:r>
    </w:p>
    <w:p w:rsidR="004B1EEB" w:rsidRPr="00602606" w:rsidRDefault="004B1EEB" w:rsidP="004B1EEB">
      <w:pPr>
        <w:pStyle w:val="NormalWeb"/>
        <w:spacing w:before="150" w:beforeAutospacing="0" w:after="0" w:afterAutospacing="0"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* 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Xenopi</w:t>
      </w:r>
      <w:proofErr w:type="spellEnd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pousse à 42°C</w:t>
      </w:r>
    </w:p>
    <w:p w:rsidR="004B1EEB" w:rsidRPr="00602606" w:rsidRDefault="004B1EEB" w:rsidP="004B1EEB">
      <w:pPr>
        <w:pStyle w:val="NormalWeb"/>
        <w:spacing w:before="150" w:beforeAutospacing="0" w:after="0" w:afterAutospacing="0"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>* Durée d’incubation</w:t>
      </w:r>
    </w:p>
    <w:p w:rsidR="004B1EEB" w:rsidRPr="00602606" w:rsidRDefault="004B1EEB" w:rsidP="004B1EEB">
      <w:pPr>
        <w:pStyle w:val="Paragraphedeliste"/>
        <w:numPr>
          <w:ilvl w:val="0"/>
          <w:numId w:val="6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La vitesse d’apparition de la culture est variable en fonction de l’espèce</w:t>
      </w:r>
    </w:p>
    <w:p w:rsidR="004B1EEB" w:rsidRPr="00602606" w:rsidRDefault="004B1EEB" w:rsidP="004B1EEB">
      <w:pPr>
        <w:pStyle w:val="Paragraphedeliste"/>
        <w:numPr>
          <w:ilvl w:val="0"/>
          <w:numId w:val="6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les milieux de culture doivent être incubés pendant au moins 3 mois avant d’être déclarés négatifs car la croissance de certaines espèces est particulièrement lente (</w:t>
      </w:r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xenopi</w:t>
      </w:r>
      <w:proofErr w:type="spellEnd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, 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malmoense</w:t>
      </w:r>
      <w:proofErr w:type="spellEnd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, 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ulcerans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).</w:t>
      </w:r>
    </w:p>
    <w:p w:rsidR="004B1EEB" w:rsidRPr="00602606" w:rsidRDefault="004B1EEB" w:rsidP="004B1EEB">
      <w:pPr>
        <w:pStyle w:val="NormalWeb"/>
        <w:spacing w:before="150" w:beforeAutospacing="0" w:after="0" w:afterAutospacing="0"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>*Aspect des colonies</w:t>
      </w:r>
      <w:r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>:</w:t>
      </w:r>
    </w:p>
    <w:p w:rsidR="004B1EEB" w:rsidRPr="00602606" w:rsidRDefault="004B1EEB" w:rsidP="004B1EEB">
      <w:pPr>
        <w:pStyle w:val="Paragraphedeliste"/>
        <w:numPr>
          <w:ilvl w:val="0"/>
          <w:numId w:val="7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Variable</w:t>
      </w:r>
    </w:p>
    <w:p w:rsidR="004B1EEB" w:rsidRPr="00131F80" w:rsidRDefault="004B1EEB" w:rsidP="004B1EEB">
      <w:pPr>
        <w:pStyle w:val="Paragraphedeliste"/>
        <w:numPr>
          <w:ilvl w:val="0"/>
          <w:numId w:val="7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lastRenderedPageBreak/>
        <w:t>Les colonies peuvent être lisses ou rugueuses, pigmentées ou concentrant le vert de malachite (</w:t>
      </w:r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fortuitum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) ou non pigmentées évoquant alors une mycobactérie tuberculeuse</w:t>
      </w:r>
    </w:p>
    <w:p w:rsidR="004B1EEB" w:rsidRDefault="004B1EEB" w:rsidP="004B1EEB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E25B2B5" wp14:editId="47458EFD">
            <wp:extent cx="4901752" cy="272466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419" cy="2728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EEB" w:rsidRPr="00610EDC" w:rsidRDefault="004B1EEB" w:rsidP="004B1EEB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  <w:r w:rsidRPr="00610EDC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 xml:space="preserve">Cultures sur milieu de </w:t>
      </w:r>
      <w:proofErr w:type="spellStart"/>
      <w:r w:rsidRPr="00610EDC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>Löwenstein</w:t>
      </w:r>
      <w:proofErr w:type="spellEnd"/>
      <w:r w:rsidRPr="00610EDC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>-Jensen</w:t>
      </w:r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. </w:t>
      </w:r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br/>
      </w:r>
      <w:r w:rsidRPr="00610EDC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>A</w:t>
      </w:r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. Colonies de </w:t>
      </w:r>
      <w:proofErr w:type="spellStart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Mycobacterium</w:t>
      </w:r>
      <w:proofErr w:type="spellEnd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 </w:t>
      </w:r>
      <w:proofErr w:type="spellStart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tuberculosis</w:t>
      </w:r>
      <w:proofErr w:type="spellEnd"/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. </w:t>
      </w:r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br/>
      </w:r>
      <w:r w:rsidRPr="00610EDC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>B.</w:t>
      </w:r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Colonies de </w:t>
      </w:r>
      <w:proofErr w:type="spellStart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Mycobacterium</w:t>
      </w:r>
      <w:proofErr w:type="spellEnd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 </w:t>
      </w:r>
      <w:proofErr w:type="spellStart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szulgai</w:t>
      </w:r>
      <w:proofErr w:type="spellEnd"/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(espèce </w:t>
      </w:r>
      <w:proofErr w:type="spellStart"/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t>scotochromogène</w:t>
      </w:r>
      <w:proofErr w:type="spellEnd"/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). </w:t>
      </w:r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br/>
      </w:r>
      <w:r w:rsidRPr="00610EDC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>C</w:t>
      </w:r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. Colonies de </w:t>
      </w:r>
      <w:proofErr w:type="spellStart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Mycobacterium</w:t>
      </w:r>
      <w:proofErr w:type="spellEnd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 </w:t>
      </w:r>
      <w:proofErr w:type="spellStart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marinum</w:t>
      </w:r>
      <w:proofErr w:type="spellEnd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 </w:t>
      </w:r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(espèce </w:t>
      </w:r>
      <w:proofErr w:type="spellStart"/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t>photochromogène</w:t>
      </w:r>
      <w:proofErr w:type="spellEnd"/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). </w:t>
      </w:r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br/>
      </w:r>
      <w:r w:rsidRPr="00610EDC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>D.</w:t>
      </w:r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Colonies de </w:t>
      </w:r>
      <w:proofErr w:type="spellStart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Mycobacterium</w:t>
      </w:r>
      <w:proofErr w:type="spellEnd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 </w:t>
      </w:r>
      <w:proofErr w:type="spellStart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xenopi</w:t>
      </w:r>
      <w:proofErr w:type="spellEnd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 </w:t>
      </w:r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(espèce non pigmentée à croissance lente). </w:t>
      </w:r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br/>
      </w:r>
      <w:r w:rsidRPr="00610EDC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>E.</w:t>
      </w:r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Colonies de </w:t>
      </w:r>
      <w:proofErr w:type="spellStart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Mycobacterium</w:t>
      </w:r>
      <w:proofErr w:type="spellEnd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 </w:t>
      </w:r>
      <w:proofErr w:type="spellStart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chelonae</w:t>
      </w:r>
      <w:proofErr w:type="spellEnd"/>
      <w:r w:rsidRPr="00610EDC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 </w:t>
      </w:r>
      <w:r w:rsidRPr="00610EDC">
        <w:rPr>
          <w:rFonts w:asciiTheme="majorBidi" w:eastAsiaTheme="minorEastAsia" w:hAnsiTheme="majorBidi" w:cstheme="majorBidi"/>
          <w:color w:val="000000" w:themeColor="text1"/>
          <w:kern w:val="24"/>
        </w:rPr>
        <w:t>(espèce à croissance rapide).</w:t>
      </w:r>
    </w:p>
    <w:p w:rsidR="004B1EEB" w:rsidRPr="00602606" w:rsidRDefault="004B1EEB" w:rsidP="004B1EEB">
      <w:pPr>
        <w:pStyle w:val="Paragraphedeliste"/>
        <w:spacing w:line="276" w:lineRule="auto"/>
        <w:rPr>
          <w:rFonts w:asciiTheme="majorBidi" w:hAnsiTheme="majorBidi" w:cstheme="majorBidi"/>
        </w:rPr>
      </w:pPr>
    </w:p>
    <w:p w:rsidR="004B1EEB" w:rsidRPr="00602606" w:rsidRDefault="004B1EEB" w:rsidP="004B1EEB">
      <w:pPr>
        <w:pStyle w:val="Paragraphedeliste"/>
        <w:numPr>
          <w:ilvl w:val="0"/>
          <w:numId w:val="16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b/>
          <w:bCs/>
          <w:color w:val="0070C0"/>
          <w:kern w:val="24"/>
          <w:u w:val="single"/>
        </w:rPr>
        <w:t>Identification des mycobactéries non tuberculeuses :</w:t>
      </w:r>
    </w:p>
    <w:p w:rsidR="004B1EEB" w:rsidRPr="002C05D2" w:rsidRDefault="004B1EEB" w:rsidP="004B1EEB">
      <w:pPr>
        <w:pStyle w:val="Paragraphedeliste"/>
        <w:numPr>
          <w:ilvl w:val="0"/>
          <w:numId w:val="7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>Identification biochimique de routine (orientation)</w:t>
      </w:r>
    </w:p>
    <w:p w:rsidR="004B1EEB" w:rsidRPr="00BA45E5" w:rsidRDefault="004B1EEB" w:rsidP="004B1EEB">
      <w:pPr>
        <w:pStyle w:val="Paragraphedeliste"/>
        <w:numPr>
          <w:ilvl w:val="0"/>
          <w:numId w:val="7"/>
        </w:numPr>
        <w:spacing w:line="276" w:lineRule="auto"/>
        <w:rPr>
          <w:rFonts w:asciiTheme="majorBidi" w:hAnsiTheme="majorBidi" w:cstheme="majorBidi"/>
        </w:rPr>
      </w:pPr>
    </w:p>
    <w:tbl>
      <w:tblPr>
        <w:tblStyle w:val="Grilledutableau"/>
        <w:tblW w:w="8926" w:type="dxa"/>
        <w:tblLook w:val="0420" w:firstRow="1" w:lastRow="0" w:firstColumn="0" w:lastColumn="0" w:noHBand="0" w:noVBand="1"/>
      </w:tblPr>
      <w:tblGrid>
        <w:gridCol w:w="2130"/>
        <w:gridCol w:w="2021"/>
        <w:gridCol w:w="1373"/>
        <w:gridCol w:w="1417"/>
        <w:gridCol w:w="1985"/>
      </w:tblGrid>
      <w:tr w:rsidR="004B1EEB" w:rsidRPr="00BA45E5" w:rsidTr="00541C55">
        <w:trPr>
          <w:trHeight w:val="781"/>
        </w:trPr>
        <w:tc>
          <w:tcPr>
            <w:tcW w:w="2130" w:type="dxa"/>
            <w:hideMark/>
          </w:tcPr>
          <w:p w:rsidR="004B1EEB" w:rsidRPr="002C05D2" w:rsidRDefault="004B1EEB" w:rsidP="00541C55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2C05D2">
              <w:rPr>
                <w:rFonts w:asciiTheme="majorBidi" w:hAnsiTheme="majorBidi" w:cstheme="majorBidi"/>
              </w:rPr>
              <w:t>Groupe</w:t>
            </w:r>
          </w:p>
        </w:tc>
        <w:tc>
          <w:tcPr>
            <w:tcW w:w="2021" w:type="dxa"/>
            <w:hideMark/>
          </w:tcPr>
          <w:p w:rsidR="004B1EEB" w:rsidRPr="002C05D2" w:rsidRDefault="004B1EEB" w:rsidP="00541C55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   </w:t>
            </w:r>
            <w:r w:rsidRPr="002C05D2">
              <w:rPr>
                <w:rFonts w:asciiTheme="majorBidi" w:hAnsiTheme="majorBidi" w:cstheme="majorBidi"/>
              </w:rPr>
              <w:t>Catalase</w:t>
            </w:r>
          </w:p>
          <w:p w:rsidR="004B1EEB" w:rsidRPr="002C05D2" w:rsidRDefault="004B1EEB" w:rsidP="00541C55">
            <w:pPr>
              <w:spacing w:line="276" w:lineRule="auto"/>
              <w:rPr>
                <w:rFonts w:asciiTheme="majorBidi" w:hAnsiTheme="majorBidi" w:cstheme="majorBidi"/>
              </w:rPr>
            </w:pPr>
            <w:r w:rsidRPr="002C05D2">
              <w:rPr>
                <w:rFonts w:asciiTheme="majorBidi" w:hAnsiTheme="majorBidi" w:cstheme="majorBidi"/>
              </w:rPr>
              <w:t xml:space="preserve">22°         </w:t>
            </w:r>
            <w:r>
              <w:rPr>
                <w:rFonts w:asciiTheme="majorBidi" w:hAnsiTheme="majorBidi" w:cstheme="majorBidi"/>
              </w:rPr>
              <w:t xml:space="preserve">       </w:t>
            </w:r>
            <w:r w:rsidRPr="002C05D2">
              <w:rPr>
                <w:rFonts w:asciiTheme="majorBidi" w:hAnsiTheme="majorBidi" w:cstheme="majorBidi"/>
              </w:rPr>
              <w:t xml:space="preserve">  68°</w:t>
            </w:r>
          </w:p>
        </w:tc>
        <w:tc>
          <w:tcPr>
            <w:tcW w:w="1373" w:type="dxa"/>
            <w:hideMark/>
          </w:tcPr>
          <w:p w:rsidR="004B1EEB" w:rsidRPr="002C05D2" w:rsidRDefault="004B1EEB" w:rsidP="00541C55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2C05D2">
              <w:rPr>
                <w:rFonts w:asciiTheme="majorBidi" w:hAnsiTheme="majorBidi" w:cstheme="majorBidi"/>
              </w:rPr>
              <w:t>Niacine</w:t>
            </w:r>
          </w:p>
        </w:tc>
        <w:tc>
          <w:tcPr>
            <w:tcW w:w="1417" w:type="dxa"/>
            <w:hideMark/>
          </w:tcPr>
          <w:p w:rsidR="004B1EEB" w:rsidRPr="002C05D2" w:rsidRDefault="004B1EEB" w:rsidP="00541C55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2C05D2">
              <w:rPr>
                <w:rFonts w:asciiTheme="majorBidi" w:hAnsiTheme="majorBidi" w:cstheme="majorBidi"/>
              </w:rPr>
              <w:t>PAS</w:t>
            </w:r>
          </w:p>
        </w:tc>
        <w:tc>
          <w:tcPr>
            <w:tcW w:w="1985" w:type="dxa"/>
            <w:hideMark/>
          </w:tcPr>
          <w:p w:rsidR="004B1EEB" w:rsidRPr="002C05D2" w:rsidRDefault="004B1EEB" w:rsidP="00541C55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2C05D2">
              <w:rPr>
                <w:rFonts w:asciiTheme="majorBidi" w:hAnsiTheme="majorBidi" w:cstheme="majorBidi"/>
              </w:rPr>
              <w:t>Cobaye</w:t>
            </w:r>
          </w:p>
        </w:tc>
      </w:tr>
      <w:tr w:rsidR="004B1EEB" w:rsidRPr="00BA45E5" w:rsidTr="00541C55">
        <w:trPr>
          <w:trHeight w:val="591"/>
        </w:trPr>
        <w:tc>
          <w:tcPr>
            <w:tcW w:w="2130" w:type="dxa"/>
            <w:hideMark/>
          </w:tcPr>
          <w:p w:rsidR="004B1EEB" w:rsidRPr="00BA45E5" w:rsidRDefault="004B1EEB" w:rsidP="00541C55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BA45E5">
              <w:rPr>
                <w:rFonts w:asciiTheme="majorBidi" w:hAnsiTheme="majorBidi" w:cstheme="majorBidi"/>
              </w:rPr>
              <w:t>M.Tb</w:t>
            </w:r>
            <w:proofErr w:type="spellEnd"/>
            <w:r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BA45E5">
              <w:rPr>
                <w:rFonts w:asciiTheme="majorBidi" w:hAnsiTheme="majorBidi" w:cstheme="majorBidi"/>
              </w:rPr>
              <w:t>Complex</w:t>
            </w:r>
            <w:proofErr w:type="spellEnd"/>
          </w:p>
        </w:tc>
        <w:tc>
          <w:tcPr>
            <w:tcW w:w="2021" w:type="dxa"/>
            <w:hideMark/>
          </w:tcPr>
          <w:p w:rsidR="004B1EEB" w:rsidRPr="002C05D2" w:rsidRDefault="004B1EEB" w:rsidP="00541C55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2C05D2">
              <w:rPr>
                <w:rFonts w:asciiTheme="majorBidi" w:hAnsiTheme="majorBidi" w:cstheme="majorBidi"/>
              </w:rPr>
              <w:t xml:space="preserve">+           </w:t>
            </w:r>
            <w:r>
              <w:rPr>
                <w:rFonts w:asciiTheme="majorBidi" w:hAnsiTheme="majorBidi" w:cstheme="majorBidi"/>
              </w:rPr>
              <w:t xml:space="preserve">         </w:t>
            </w:r>
            <w:r w:rsidRPr="002C05D2">
              <w:rPr>
                <w:rFonts w:asciiTheme="majorBidi" w:hAnsiTheme="majorBidi" w:cstheme="majorBidi"/>
              </w:rPr>
              <w:t xml:space="preserve">    -</w:t>
            </w:r>
          </w:p>
        </w:tc>
        <w:tc>
          <w:tcPr>
            <w:tcW w:w="1373" w:type="dxa"/>
            <w:hideMark/>
          </w:tcPr>
          <w:p w:rsidR="004B1EEB" w:rsidRPr="002C05D2" w:rsidRDefault="004B1EEB" w:rsidP="00541C55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2C05D2">
              <w:rPr>
                <w:rFonts w:asciiTheme="majorBidi" w:hAnsiTheme="majorBidi" w:cstheme="majorBidi"/>
              </w:rPr>
              <w:t>+</w:t>
            </w:r>
          </w:p>
        </w:tc>
        <w:tc>
          <w:tcPr>
            <w:tcW w:w="1417" w:type="dxa"/>
            <w:hideMark/>
          </w:tcPr>
          <w:p w:rsidR="004B1EEB" w:rsidRPr="002C05D2" w:rsidRDefault="004B1EEB" w:rsidP="00541C55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2C05D2">
              <w:rPr>
                <w:rFonts w:asciiTheme="majorBidi" w:hAnsiTheme="majorBidi" w:cstheme="majorBidi"/>
              </w:rPr>
              <w:t>S</w:t>
            </w:r>
          </w:p>
        </w:tc>
        <w:tc>
          <w:tcPr>
            <w:tcW w:w="1985" w:type="dxa"/>
            <w:hideMark/>
          </w:tcPr>
          <w:p w:rsidR="004B1EEB" w:rsidRPr="002C05D2" w:rsidRDefault="004B1EEB" w:rsidP="00541C55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2C05D2">
              <w:rPr>
                <w:rFonts w:asciiTheme="majorBidi" w:hAnsiTheme="majorBidi" w:cstheme="majorBidi"/>
              </w:rPr>
              <w:t>+</w:t>
            </w:r>
          </w:p>
        </w:tc>
      </w:tr>
      <w:tr w:rsidR="004B1EEB" w:rsidRPr="00BA45E5" w:rsidTr="00541C55">
        <w:trPr>
          <w:trHeight w:val="621"/>
        </w:trPr>
        <w:tc>
          <w:tcPr>
            <w:tcW w:w="2130" w:type="dxa"/>
            <w:hideMark/>
          </w:tcPr>
          <w:p w:rsidR="004B1EEB" w:rsidRPr="002C05D2" w:rsidRDefault="004B1EEB" w:rsidP="00541C55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2C05D2">
              <w:rPr>
                <w:rFonts w:asciiTheme="majorBidi" w:hAnsiTheme="majorBidi" w:cstheme="majorBidi"/>
              </w:rPr>
              <w:t>M.atypiques</w:t>
            </w:r>
            <w:proofErr w:type="spellEnd"/>
          </w:p>
        </w:tc>
        <w:tc>
          <w:tcPr>
            <w:tcW w:w="2021" w:type="dxa"/>
            <w:hideMark/>
          </w:tcPr>
          <w:p w:rsidR="004B1EEB" w:rsidRPr="002C05D2" w:rsidRDefault="004B1EEB" w:rsidP="00541C55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2C05D2">
              <w:rPr>
                <w:rFonts w:asciiTheme="majorBidi" w:hAnsiTheme="majorBidi" w:cstheme="majorBidi"/>
              </w:rPr>
              <w:t xml:space="preserve">+++     </w:t>
            </w:r>
            <w:r>
              <w:rPr>
                <w:rFonts w:asciiTheme="majorBidi" w:hAnsiTheme="majorBidi" w:cstheme="majorBidi"/>
              </w:rPr>
              <w:t xml:space="preserve">         </w:t>
            </w:r>
            <w:r w:rsidRPr="002C05D2">
              <w:rPr>
                <w:rFonts w:asciiTheme="majorBidi" w:hAnsiTheme="majorBidi" w:cstheme="majorBidi"/>
              </w:rPr>
              <w:t xml:space="preserve">     +</w:t>
            </w:r>
          </w:p>
        </w:tc>
        <w:tc>
          <w:tcPr>
            <w:tcW w:w="1373" w:type="dxa"/>
            <w:hideMark/>
          </w:tcPr>
          <w:p w:rsidR="004B1EEB" w:rsidRPr="002C05D2" w:rsidRDefault="004B1EEB" w:rsidP="00541C55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2C05D2"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417" w:type="dxa"/>
            <w:hideMark/>
          </w:tcPr>
          <w:p w:rsidR="004B1EEB" w:rsidRPr="002C05D2" w:rsidRDefault="004B1EEB" w:rsidP="00541C55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2C05D2">
              <w:rPr>
                <w:rFonts w:asciiTheme="majorBidi" w:hAnsiTheme="majorBidi" w:cstheme="majorBidi"/>
              </w:rPr>
              <w:t>R</w:t>
            </w:r>
          </w:p>
        </w:tc>
        <w:tc>
          <w:tcPr>
            <w:tcW w:w="1985" w:type="dxa"/>
            <w:hideMark/>
          </w:tcPr>
          <w:p w:rsidR="004B1EEB" w:rsidRPr="002C05D2" w:rsidRDefault="004B1EEB" w:rsidP="00541C55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2C05D2">
              <w:rPr>
                <w:rFonts w:asciiTheme="majorBidi" w:hAnsiTheme="majorBidi" w:cstheme="majorBidi"/>
              </w:rPr>
              <w:t>-</w:t>
            </w:r>
          </w:p>
        </w:tc>
      </w:tr>
    </w:tbl>
    <w:p w:rsidR="004B1EEB" w:rsidRPr="00602606" w:rsidRDefault="004B1EEB" w:rsidP="004B1EEB">
      <w:pPr>
        <w:pStyle w:val="Paragraphedeliste"/>
        <w:spacing w:line="276" w:lineRule="auto"/>
        <w:rPr>
          <w:rFonts w:asciiTheme="majorBidi" w:hAnsiTheme="majorBidi" w:cstheme="majorBidi"/>
        </w:rPr>
      </w:pPr>
    </w:p>
    <w:p w:rsidR="004B1EEB" w:rsidRPr="00602606" w:rsidRDefault="004B1EEB" w:rsidP="004B1EEB">
      <w:pPr>
        <w:pStyle w:val="Paragraphedeliste"/>
        <w:numPr>
          <w:ilvl w:val="0"/>
          <w:numId w:val="7"/>
        </w:numPr>
        <w:spacing w:line="276" w:lineRule="auto"/>
        <w:rPr>
          <w:rFonts w:asciiTheme="majorBidi" w:hAnsiTheme="majorBidi" w:cstheme="maj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8B5374" wp14:editId="460D7749">
                <wp:simplePos x="0" y="0"/>
                <wp:positionH relativeFrom="margin">
                  <wp:posOffset>3634105</wp:posOffset>
                </wp:positionH>
                <wp:positionV relativeFrom="paragraph">
                  <wp:posOffset>398144</wp:posOffset>
                </wp:positionV>
                <wp:extent cx="276225" cy="784225"/>
                <wp:effectExtent l="0" t="0" r="47625" b="15875"/>
                <wp:wrapNone/>
                <wp:docPr id="4" name="Accolade ferman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84225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9608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3" o:spid="_x0000_s1026" type="#_x0000_t88" style="position:absolute;margin-left:286.15pt;margin-top:31.35pt;width:21.75pt;height:61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" adj="634" strokecolor="#5b9bd5" strokeweight=".5pt">
                <v:stroke joinstyle="miter"/>
                <w10:wrap anchorx="margin"/>
              </v:shape>
            </w:pict>
          </mc:Fallback>
        </mc:AlternateConten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Une fois acquise la confirmation qu’il s’agit d’une </w:t>
      </w:r>
      <w:r w:rsidRPr="00602606">
        <w:rPr>
          <w:rFonts w:asciiTheme="majorBidi" w:eastAsiaTheme="minorEastAsia" w:hAnsiTheme="majorBidi" w:cstheme="majorBidi"/>
          <w:b/>
          <w:bCs/>
          <w:i/>
          <w:iCs/>
          <w:color w:val="ED7D31" w:themeColor="accent2"/>
          <w:kern w:val="24"/>
          <w:u w:val="single"/>
        </w:rPr>
        <w:t>M. atypique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, la souche est repiquée pour étudier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:</w:t>
      </w:r>
    </w:p>
    <w:p w:rsidR="004B1EEB" w:rsidRPr="00602606" w:rsidRDefault="004B1EEB" w:rsidP="004B1EEB">
      <w:pPr>
        <w:pStyle w:val="Paragraphedeliste"/>
        <w:numPr>
          <w:ilvl w:val="1"/>
          <w:numId w:val="7"/>
        </w:numPr>
        <w:spacing w:line="276" w:lineRule="auto"/>
        <w:rPr>
          <w:rFonts w:asciiTheme="majorBidi" w:hAnsiTheme="majorBidi" w:cstheme="majorBidi"/>
        </w:rPr>
      </w:pPr>
      <w:r w:rsidRPr="00005DF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A605D0" wp14:editId="3539AB52">
                <wp:simplePos x="0" y="0"/>
                <wp:positionH relativeFrom="column">
                  <wp:posOffset>4053205</wp:posOffset>
                </wp:positionH>
                <wp:positionV relativeFrom="paragraph">
                  <wp:posOffset>175260</wp:posOffset>
                </wp:positionV>
                <wp:extent cx="1314450" cy="615553"/>
                <wp:effectExtent l="0" t="0" r="0" b="0"/>
                <wp:wrapNone/>
                <wp:docPr id="22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6155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1EEB" w:rsidRDefault="004B1EEB" w:rsidP="004B1EE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  <w:color w:val="000099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05DF3">
                              <w:rPr>
                                <w:rFonts w:asciiTheme="majorBidi" w:hAnsiTheme="majorBidi" w:cstheme="majorBidi"/>
                                <w:color w:val="000099"/>
                                <w:kern w:val="24"/>
                              </w:rPr>
                              <w:t>GROUPES DE</w:t>
                            </w:r>
                          </w:p>
                          <w:p w:rsidR="004B1EEB" w:rsidRPr="00005DF3" w:rsidRDefault="004B1EEB" w:rsidP="004B1EE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005DF3">
                              <w:rPr>
                                <w:rFonts w:asciiTheme="majorBidi" w:hAnsiTheme="majorBidi" w:cstheme="majorBidi"/>
                                <w:color w:val="000099"/>
                                <w:kern w:val="24"/>
                              </w:rPr>
                              <w:t xml:space="preserve"> RUNYON</w:t>
                            </w:r>
                            <w:r w:rsidRPr="00005DF3">
                              <w:rPr>
                                <w:rFonts w:asciiTheme="majorBidi" w:hAnsiTheme="majorBidi" w:cstheme="majorBidi"/>
                                <w:color w:val="000000" w:themeColor="text1"/>
                                <w:kern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605D0" id="ZoneTexte 4" o:spid="_x0000_s1029" type="#_x0000_t202" style="position:absolute;left:0;text-align:left;margin-left:319.15pt;margin-top:13.8pt;width:103.5pt;height:48.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" filled="f" stroked="f">
                <v:textbox style="mso-fit-shape-to-text:t">
                  <w:txbxContent>
                    <w:p w:rsidR="004B1EEB" w:rsidRDefault="004B1EEB" w:rsidP="004B1EE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  <w:color w:val="000099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005DF3">
                        <w:rPr>
                          <w:rFonts w:asciiTheme="majorBidi" w:hAnsiTheme="majorBidi" w:cstheme="majorBidi"/>
                          <w:color w:val="000099"/>
                          <w:kern w:val="24"/>
                        </w:rPr>
                        <w:t>GROUPES DE</w:t>
                      </w:r>
                    </w:p>
                    <w:p w:rsidR="004B1EEB" w:rsidRPr="00005DF3" w:rsidRDefault="004B1EEB" w:rsidP="004B1EE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005DF3">
                        <w:rPr>
                          <w:rFonts w:asciiTheme="majorBidi" w:hAnsiTheme="majorBidi" w:cstheme="majorBidi"/>
                          <w:color w:val="000099"/>
                          <w:kern w:val="24"/>
                        </w:rPr>
                        <w:t xml:space="preserve"> RUNYON</w:t>
                      </w:r>
                      <w:r w:rsidRPr="00005DF3">
                        <w:rPr>
                          <w:rFonts w:asciiTheme="majorBidi" w:hAnsiTheme="majorBidi" w:cstheme="majorBidi"/>
                          <w:color w:val="000000" w:themeColor="text1"/>
                          <w:kern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La vitesse et la température de croissance.</w:t>
      </w:r>
      <w:r w:rsidRPr="00005DF3">
        <w:rPr>
          <w:noProof/>
        </w:rPr>
        <w:t xml:space="preserve"> </w:t>
      </w:r>
    </w:p>
    <w:p w:rsidR="004B1EEB" w:rsidRPr="00602606" w:rsidRDefault="004B1EEB" w:rsidP="004B1EEB">
      <w:pPr>
        <w:pStyle w:val="Paragraphedeliste"/>
        <w:numPr>
          <w:ilvl w:val="1"/>
          <w:numId w:val="7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L’existence ou non de pigmentation.</w:t>
      </w:r>
    </w:p>
    <w:p w:rsidR="004B1EEB" w:rsidRPr="00602606" w:rsidRDefault="004B1EEB" w:rsidP="004B1EEB">
      <w:pPr>
        <w:pStyle w:val="Paragraphedeliste"/>
        <w:numPr>
          <w:ilvl w:val="1"/>
          <w:numId w:val="7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La photo-induction de pigment.</w:t>
      </w:r>
      <w:r w:rsidRPr="00005DF3">
        <w:rPr>
          <w:noProof/>
        </w:rPr>
        <w:t xml:space="preserve"> </w:t>
      </w:r>
    </w:p>
    <w:p w:rsidR="004B1EEB" w:rsidRPr="00005DF3" w:rsidRDefault="004B1EEB" w:rsidP="004B1EEB">
      <w:pPr>
        <w:pStyle w:val="Paragraphedeliste"/>
        <w:numPr>
          <w:ilvl w:val="1"/>
          <w:numId w:val="7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La croissance ou non sur gélose ordinaire. </w:t>
      </w:r>
    </w:p>
    <w:p w:rsidR="004B1EEB" w:rsidRPr="00005DF3" w:rsidRDefault="004B1EEB" w:rsidP="004B1EEB">
      <w:pPr>
        <w:pStyle w:val="Paragraphedeliste"/>
        <w:spacing w:line="276" w:lineRule="auto"/>
        <w:ind w:left="1440"/>
        <w:rPr>
          <w:rFonts w:asciiTheme="majorBidi" w:hAnsiTheme="majorBidi" w:cstheme="majorBidi"/>
        </w:rPr>
      </w:pPr>
    </w:p>
    <w:p w:rsidR="004B1EEB" w:rsidRPr="00602606" w:rsidRDefault="004B1EEB" w:rsidP="004B1EEB">
      <w:pPr>
        <w:pStyle w:val="Paragraphedeliste"/>
        <w:numPr>
          <w:ilvl w:val="0"/>
          <w:numId w:val="7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lastRenderedPageBreak/>
        <w:t>La mise en évidence de ces caractères constitue le point de départ de l’identification des espèces au sein des 4 groupes par la mise en évidence des caractères biochimiques et de sensibilité aux antibiotiques.</w:t>
      </w:r>
    </w:p>
    <w:p w:rsidR="004B1EEB" w:rsidRPr="00602606" w:rsidRDefault="004B1EEB" w:rsidP="004B1EEB">
      <w:pPr>
        <w:pStyle w:val="Paragraphedeliste"/>
        <w:numPr>
          <w:ilvl w:val="0"/>
          <w:numId w:val="8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Ces techniques sont laborieuses et d’interprétation délicate.</w:t>
      </w:r>
    </w:p>
    <w:p w:rsidR="004B1EEB" w:rsidRPr="00E94562" w:rsidRDefault="004B1EEB" w:rsidP="004B1EEB">
      <w:pPr>
        <w:pStyle w:val="Paragraphedeliste"/>
        <w:numPr>
          <w:ilvl w:val="0"/>
          <w:numId w:val="8"/>
        </w:numPr>
        <w:spacing w:line="276" w:lineRule="auto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>Identification</w:t>
      </w:r>
      <w:r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 xml:space="preserve"> moléculaire </w:t>
      </w:r>
      <w:r w:rsidRPr="00602606">
        <w:rPr>
          <w:rFonts w:asciiTheme="majorBidi" w:eastAsiaTheme="minorEastAsia" w:hAnsiTheme="majorBidi" w:cstheme="majorBidi"/>
          <w:b/>
          <w:bCs/>
          <w:color w:val="000000" w:themeColor="text1"/>
          <w:kern w:val="24"/>
        </w:rPr>
        <w:t>: Hybridation moléculaire et/ou PCR</w:t>
      </w:r>
    </w:p>
    <w:p w:rsidR="00E94562" w:rsidRPr="00E94562" w:rsidRDefault="00E94562" w:rsidP="00E94562">
      <w:pPr>
        <w:pStyle w:val="Paragraphedeliste"/>
        <w:numPr>
          <w:ilvl w:val="0"/>
          <w:numId w:val="13"/>
        </w:numPr>
        <w:spacing w:line="276" w:lineRule="auto"/>
        <w:rPr>
          <w:rFonts w:asciiTheme="majorBidi" w:hAnsiTheme="majorBidi" w:cstheme="majorBidi"/>
          <w:b/>
          <w:bCs/>
          <w:u w:val="single"/>
        </w:rPr>
      </w:pPr>
      <w:r w:rsidRPr="00E94562">
        <w:rPr>
          <w:rFonts w:asciiTheme="majorBidi" w:hAnsiTheme="majorBidi" w:cstheme="majorBidi"/>
          <w:b/>
          <w:bCs/>
          <w:u w:val="single"/>
        </w:rPr>
        <w:t>Tests de biologie moléculaire</w:t>
      </w:r>
      <w:r>
        <w:rPr>
          <w:rFonts w:asciiTheme="majorBidi" w:hAnsiTheme="majorBidi" w:cstheme="majorBidi"/>
          <w:b/>
          <w:bCs/>
          <w:u w:val="single"/>
        </w:rPr>
        <w:t> :</w:t>
      </w:r>
    </w:p>
    <w:p w:rsidR="00E94562" w:rsidRPr="00E94562" w:rsidRDefault="00E94562" w:rsidP="00E94562">
      <w:pPr>
        <w:pStyle w:val="Paragraphedeliste"/>
        <w:numPr>
          <w:ilvl w:val="0"/>
          <w:numId w:val="8"/>
        </w:numPr>
        <w:spacing w:line="276" w:lineRule="auto"/>
        <w:rPr>
          <w:rFonts w:asciiTheme="majorBidi" w:hAnsiTheme="majorBidi" w:cstheme="majorBidi"/>
        </w:rPr>
      </w:pPr>
      <w:r w:rsidRPr="00E94562">
        <w:rPr>
          <w:rFonts w:asciiTheme="majorBidi" w:hAnsiTheme="majorBidi" w:cstheme="majorBidi"/>
        </w:rPr>
        <w:t>Différentiation génétique du MTBC et des atypiques</w:t>
      </w:r>
    </w:p>
    <w:p w:rsidR="00E94562" w:rsidRDefault="00E94562" w:rsidP="00E94562">
      <w:pPr>
        <w:pStyle w:val="Paragraphedeliste"/>
        <w:numPr>
          <w:ilvl w:val="0"/>
          <w:numId w:val="8"/>
        </w:numPr>
        <w:spacing w:line="276" w:lineRule="auto"/>
        <w:rPr>
          <w:rFonts w:asciiTheme="majorBidi" w:hAnsiTheme="majorBidi" w:cstheme="majorBidi"/>
        </w:rPr>
      </w:pPr>
      <w:r w:rsidRPr="00E94562">
        <w:rPr>
          <w:rFonts w:asciiTheme="majorBidi" w:hAnsiTheme="majorBidi" w:cstheme="majorBidi"/>
        </w:rPr>
        <w:t>Extraction ADN bactérien de la culture</w:t>
      </w:r>
    </w:p>
    <w:p w:rsidR="00E94562" w:rsidRDefault="00E533BC" w:rsidP="00896AC4">
      <w:pPr>
        <w:pStyle w:val="Paragraphedeliste"/>
        <w:numPr>
          <w:ilvl w:val="0"/>
          <w:numId w:val="8"/>
        </w:numPr>
        <w:spacing w:line="276" w:lineRule="auto"/>
        <w:rPr>
          <w:rFonts w:asciiTheme="majorBidi" w:hAnsiTheme="majorBidi" w:cstheme="majorBidi"/>
        </w:rPr>
      </w:pPr>
      <w:r w:rsidRPr="00896AC4">
        <w:rPr>
          <w:rFonts w:asciiTheme="majorBidi" w:hAnsiTheme="majorBidi" w:cstheme="majorBidi"/>
        </w:rPr>
        <w:t xml:space="preserve">PCR hybridation ou séquençage de cibles spécifiques : gène </w:t>
      </w:r>
      <w:r w:rsidRPr="00896AC4">
        <w:rPr>
          <w:rFonts w:asciiTheme="majorBidi" w:hAnsiTheme="majorBidi" w:cstheme="majorBidi"/>
          <w:i/>
          <w:iCs/>
        </w:rPr>
        <w:t xml:space="preserve">hsp65, </w:t>
      </w:r>
      <w:proofErr w:type="spellStart"/>
      <w:r w:rsidRPr="00896AC4">
        <w:rPr>
          <w:rFonts w:asciiTheme="majorBidi" w:hAnsiTheme="majorBidi" w:cstheme="majorBidi"/>
          <w:i/>
          <w:iCs/>
        </w:rPr>
        <w:t>rpoB</w:t>
      </w:r>
      <w:proofErr w:type="spellEnd"/>
      <w:r w:rsidRPr="00896AC4">
        <w:rPr>
          <w:rFonts w:asciiTheme="majorBidi" w:hAnsiTheme="majorBidi" w:cstheme="majorBidi"/>
        </w:rPr>
        <w:t xml:space="preserve">, espace </w:t>
      </w:r>
      <w:proofErr w:type="spellStart"/>
      <w:r w:rsidRPr="00896AC4">
        <w:rPr>
          <w:rFonts w:asciiTheme="majorBidi" w:hAnsiTheme="majorBidi" w:cstheme="majorBidi"/>
        </w:rPr>
        <w:t>intergénique</w:t>
      </w:r>
      <w:proofErr w:type="spellEnd"/>
      <w:r w:rsidRPr="00896AC4">
        <w:rPr>
          <w:rFonts w:asciiTheme="majorBidi" w:hAnsiTheme="majorBidi" w:cstheme="majorBidi"/>
        </w:rPr>
        <w:t xml:space="preserve"> 16-23S (ITS), etc</w:t>
      </w:r>
      <w:proofErr w:type="gramStart"/>
      <w:r w:rsidRPr="00896AC4">
        <w:rPr>
          <w:rFonts w:asciiTheme="majorBidi" w:hAnsiTheme="majorBidi" w:cstheme="majorBidi"/>
        </w:rPr>
        <w:t>..</w:t>
      </w:r>
      <w:proofErr w:type="gramEnd"/>
    </w:p>
    <w:p w:rsidR="00896AC4" w:rsidRPr="00896AC4" w:rsidRDefault="00896AC4" w:rsidP="00896AC4">
      <w:pPr>
        <w:spacing w:line="276" w:lineRule="auto"/>
        <w:rPr>
          <w:rFonts w:asciiTheme="majorBidi" w:hAnsiTheme="majorBidi" w:cstheme="majorBidi"/>
        </w:rPr>
      </w:pPr>
    </w:p>
    <w:p w:rsidR="00E94562" w:rsidRPr="00E94562" w:rsidRDefault="00E94562" w:rsidP="00E94562">
      <w:pPr>
        <w:spacing w:line="276" w:lineRule="auto"/>
        <w:jc w:val="center"/>
        <w:rPr>
          <w:rFonts w:ascii="38" w:eastAsiaTheme="majorEastAsia" w:hAnsi="38" w:cstheme="majorBidi"/>
          <w:b/>
          <w:bCs/>
          <w:color w:val="FF0000"/>
          <w:kern w:val="24"/>
          <w:sz w:val="36"/>
          <w:szCs w:val="2"/>
        </w:rPr>
      </w:pPr>
      <w:r w:rsidRPr="00E94562">
        <w:rPr>
          <w:rFonts w:ascii="38" w:eastAsiaTheme="majorEastAsia" w:hAnsi="38" w:cstheme="majorBidi"/>
          <w:b/>
          <w:bCs/>
          <w:color w:val="FF0000"/>
          <w:kern w:val="24"/>
          <w:sz w:val="36"/>
          <w:szCs w:val="2"/>
        </w:rPr>
        <w:t>INNO-</w:t>
      </w:r>
      <w:proofErr w:type="spellStart"/>
      <w:r w:rsidRPr="00E94562">
        <w:rPr>
          <w:rFonts w:ascii="38" w:eastAsiaTheme="majorEastAsia" w:hAnsi="38" w:cstheme="majorBidi"/>
          <w:b/>
          <w:bCs/>
          <w:color w:val="FF0000"/>
          <w:kern w:val="24"/>
          <w:sz w:val="36"/>
          <w:szCs w:val="2"/>
        </w:rPr>
        <w:t>Lipa</w:t>
      </w:r>
      <w:proofErr w:type="spellEnd"/>
      <w:r w:rsidR="00896AC4">
        <w:rPr>
          <w:rFonts w:ascii="38" w:eastAsiaTheme="majorEastAsia" w:hAnsi="38" w:cstheme="majorBidi"/>
          <w:b/>
          <w:bCs/>
          <w:color w:val="FF0000"/>
          <w:kern w:val="24"/>
          <w:sz w:val="36"/>
          <w:szCs w:val="2"/>
        </w:rPr>
        <w:t xml:space="preserve"> (PCR-hybridation)</w:t>
      </w:r>
    </w:p>
    <w:p w:rsidR="00E94562" w:rsidRDefault="00E94562" w:rsidP="00E94562">
      <w:pPr>
        <w:spacing w:line="276" w:lineRule="auto"/>
        <w:jc w:val="center"/>
        <w:rPr>
          <w:rFonts w:ascii="38" w:eastAsiaTheme="majorEastAsia" w:hAnsi="38" w:cstheme="majorBidi"/>
          <w:color w:val="FF0000"/>
          <w:kern w:val="24"/>
          <w:sz w:val="36"/>
          <w:szCs w:val="2"/>
        </w:rPr>
      </w:pPr>
      <w:r w:rsidRPr="00E94562">
        <w:rPr>
          <w:rFonts w:ascii="38" w:eastAsiaTheme="majorEastAsia" w:hAnsi="38" w:cstheme="majorBidi"/>
          <w:color w:val="FF0000"/>
          <w:kern w:val="24"/>
          <w:sz w:val="36"/>
          <w:szCs w:val="2"/>
        </w:rPr>
        <w:t xml:space="preserve"> </w:t>
      </w:r>
      <w:r>
        <w:rPr>
          <w:noProof/>
          <w:lang w:eastAsia="fr-FR"/>
        </w:rPr>
        <w:drawing>
          <wp:inline distT="0" distB="0" distL="0" distR="0" wp14:anchorId="0657342B" wp14:editId="2C2AC5DF">
            <wp:extent cx="3534901" cy="2345690"/>
            <wp:effectExtent l="0" t="0" r="8890" b="0"/>
            <wp:docPr id="10" name="Picture 4" descr="DSC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SC001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46" cy="234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62" w:rsidRDefault="00E94562" w:rsidP="00E94562">
      <w:pPr>
        <w:spacing w:line="276" w:lineRule="auto"/>
        <w:jc w:val="center"/>
        <w:rPr>
          <w:rFonts w:asciiTheme="majorBidi" w:hAnsiTheme="majorBidi" w:cstheme="majorBidi"/>
        </w:rPr>
      </w:pPr>
      <w:r w:rsidRPr="00E94562">
        <w:rPr>
          <w:noProof/>
          <w:lang w:eastAsia="fr-FR"/>
        </w:rPr>
        <w:drawing>
          <wp:inline distT="0" distB="0" distL="0" distR="0" wp14:anchorId="70ABD0AF" wp14:editId="47DE457E">
            <wp:extent cx="4547984" cy="3250565"/>
            <wp:effectExtent l="0" t="0" r="5080" b="6985"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8713" cy="325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AC4" w:rsidRDefault="00896AC4" w:rsidP="00E94562">
      <w:pPr>
        <w:spacing w:line="276" w:lineRule="auto"/>
        <w:jc w:val="center"/>
        <w:rPr>
          <w:rFonts w:asciiTheme="majorBidi" w:hAnsiTheme="majorBidi" w:cstheme="majorBidi"/>
        </w:rPr>
      </w:pPr>
    </w:p>
    <w:p w:rsidR="00896AC4" w:rsidRPr="00896AC4" w:rsidRDefault="00896AC4" w:rsidP="00896AC4">
      <w:pPr>
        <w:pStyle w:val="Paragraphedeliste"/>
        <w:numPr>
          <w:ilvl w:val="0"/>
          <w:numId w:val="10"/>
        </w:numPr>
        <w:spacing w:line="276" w:lineRule="auto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 w:rsidRPr="00896AC4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lastRenderedPageBreak/>
        <w:t xml:space="preserve">Confrontation </w:t>
      </w:r>
      <w:proofErr w:type="spellStart"/>
      <w:r w:rsidRPr="00896AC4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clinico</w:t>
      </w:r>
      <w:proofErr w:type="spellEnd"/>
      <w:r w:rsidRPr="00896AC4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-bactériologique</w:t>
      </w:r>
      <w:r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 :</w:t>
      </w:r>
    </w:p>
    <w:p w:rsidR="00000000" w:rsidRPr="00896AC4" w:rsidRDefault="00E533BC" w:rsidP="00896AC4">
      <w:pPr>
        <w:numPr>
          <w:ilvl w:val="0"/>
          <w:numId w:val="19"/>
        </w:numPr>
        <w:spacing w:line="276" w:lineRule="auto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896AC4">
        <w:rPr>
          <w:rFonts w:asciiTheme="majorBidi" w:hAnsiTheme="majorBidi" w:cstheme="majorBidi"/>
          <w:noProof/>
          <w:sz w:val="24"/>
          <w:szCs w:val="24"/>
          <w:lang w:eastAsia="fr-FR"/>
        </w:rPr>
        <w:t>Les résultats bactériologiques doivent être confrontés aux données cliniques et paracliniques.</w:t>
      </w:r>
    </w:p>
    <w:p w:rsidR="00000000" w:rsidRPr="00896AC4" w:rsidRDefault="00E533BC" w:rsidP="00896AC4">
      <w:pPr>
        <w:numPr>
          <w:ilvl w:val="0"/>
          <w:numId w:val="19"/>
        </w:numPr>
        <w:spacing w:line="276" w:lineRule="auto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896AC4">
        <w:rPr>
          <w:rFonts w:asciiTheme="majorBidi" w:hAnsiTheme="majorBidi" w:cstheme="majorBidi"/>
          <w:noProof/>
          <w:sz w:val="24"/>
          <w:szCs w:val="24"/>
          <w:lang w:eastAsia="fr-FR"/>
        </w:rPr>
        <w:t>Une culture positive isolée à mycobactérie atypique en dehors d’un contexte é</w:t>
      </w:r>
      <w:r w:rsidRPr="00896AC4">
        <w:rPr>
          <w:rFonts w:asciiTheme="majorBidi" w:hAnsiTheme="majorBidi" w:cstheme="majorBidi"/>
          <w:noProof/>
          <w:sz w:val="24"/>
          <w:szCs w:val="24"/>
          <w:lang w:eastAsia="fr-FR"/>
        </w:rPr>
        <w:t>vocateur est à considérer a priori comme une souillure.</w:t>
      </w:r>
    </w:p>
    <w:p w:rsidR="00896AC4" w:rsidRPr="00896AC4" w:rsidRDefault="00E533BC" w:rsidP="00896AC4">
      <w:pPr>
        <w:numPr>
          <w:ilvl w:val="0"/>
          <w:numId w:val="19"/>
        </w:numPr>
        <w:spacing w:line="276" w:lineRule="auto"/>
        <w:rPr>
          <w:rFonts w:asciiTheme="majorBidi" w:hAnsiTheme="majorBidi" w:cstheme="majorBidi"/>
          <w:noProof/>
          <w:sz w:val="24"/>
          <w:szCs w:val="24"/>
          <w:lang w:eastAsia="fr-FR"/>
        </w:rPr>
      </w:pPr>
      <w:r w:rsidRPr="00896AC4">
        <w:rPr>
          <w:rFonts w:asciiTheme="majorBidi" w:hAnsiTheme="majorBidi" w:cstheme="majorBidi"/>
          <w:noProof/>
          <w:sz w:val="24"/>
          <w:szCs w:val="24"/>
          <w:lang w:eastAsia="fr-FR"/>
        </w:rPr>
        <w:t>L’existence d’une pathologie sous-jacente locale ou générale favorisant l’infection opportuniste (immunodépression locale ou générale)</w:t>
      </w:r>
      <w:r w:rsidRPr="00896AC4">
        <w:rPr>
          <w:rFonts w:asciiTheme="majorBidi" w:hAnsiTheme="majorBidi" w:cstheme="majorBidi"/>
          <w:noProof/>
          <w:sz w:val="24"/>
          <w:szCs w:val="24"/>
          <w:lang w:eastAsia="fr-FR"/>
        </w:rPr>
        <w:t xml:space="preserve"> rend le diagnostic probable.</w:t>
      </w:r>
    </w:p>
    <w:p w:rsidR="004B1EEB" w:rsidRPr="00610EDC" w:rsidRDefault="004B1EEB" w:rsidP="001E543F">
      <w:pPr>
        <w:spacing w:line="276" w:lineRule="auto"/>
        <w:jc w:val="center"/>
        <w:rPr>
          <w:rFonts w:asciiTheme="majorBidi" w:hAnsiTheme="majorBidi" w:cstheme="majorBidi"/>
          <w:sz w:val="24"/>
          <w:szCs w:val="24"/>
        </w:rPr>
      </w:pPr>
      <w:r w:rsidRPr="00610EDC">
        <w:rPr>
          <w:noProof/>
          <w:lang w:eastAsia="fr-FR"/>
        </w:rPr>
        <w:drawing>
          <wp:inline distT="0" distB="0" distL="0" distR="0" wp14:anchorId="006E2975" wp14:editId="1D39179E">
            <wp:extent cx="5084013" cy="3811614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96" cy="381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EEB" w:rsidRPr="00235BB3" w:rsidRDefault="004B1EEB" w:rsidP="004B1EEB">
      <w:pPr>
        <w:pStyle w:val="Paragraphedeliste"/>
        <w:numPr>
          <w:ilvl w:val="0"/>
          <w:numId w:val="10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235BB3">
        <w:rPr>
          <w:rFonts w:asciiTheme="majorBidi" w:eastAsiaTheme="minorEastAsia" w:hAnsiTheme="majorBidi" w:cstheme="majorBidi"/>
          <w:b/>
          <w:bCs/>
          <w:color w:val="FF0000"/>
          <w:kern w:val="24"/>
          <w:sz w:val="28"/>
          <w:szCs w:val="28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Traitement :</w:t>
      </w:r>
    </w:p>
    <w:p w:rsidR="004B1EEB" w:rsidRPr="00602606" w:rsidRDefault="004B1EEB" w:rsidP="001E543F">
      <w:pPr>
        <w:pStyle w:val="Paragraphedeliste"/>
        <w:numPr>
          <w:ilvl w:val="0"/>
          <w:numId w:val="9"/>
        </w:numPr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Les mycobactéries atypiques sont résistantes aux </w:t>
      </w:r>
      <w:proofErr w:type="spellStart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anti-tuberculeux</w:t>
      </w:r>
      <w:proofErr w:type="spellEnd"/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à l’exception de </w:t>
      </w:r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 xml:space="preserve">M. </w:t>
      </w:r>
      <w:proofErr w:type="spellStart"/>
      <w:r w:rsidRPr="00602606">
        <w:rPr>
          <w:rFonts w:asciiTheme="majorBidi" w:eastAsiaTheme="minorEastAsia" w:hAnsiTheme="majorBidi" w:cstheme="majorBidi"/>
          <w:i/>
          <w:iCs/>
          <w:color w:val="000000" w:themeColor="text1"/>
          <w:kern w:val="24"/>
        </w:rPr>
        <w:t>kansasii</w:t>
      </w:r>
      <w:proofErr w:type="spellEnd"/>
    </w:p>
    <w:p w:rsidR="004B1EEB" w:rsidRPr="00602606" w:rsidRDefault="004B1EEB" w:rsidP="001E543F">
      <w:pPr>
        <w:pStyle w:val="Paragraphedeliste"/>
        <w:numPr>
          <w:ilvl w:val="0"/>
          <w:numId w:val="9"/>
        </w:numPr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Le TRT fera appel soit</w:t>
      </w:r>
      <w:r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:</w:t>
      </w:r>
    </w:p>
    <w:p w:rsidR="004B1EEB" w:rsidRDefault="004B1EEB" w:rsidP="001E543F">
      <w:pPr>
        <w:pStyle w:val="NormalWeb"/>
        <w:numPr>
          <w:ilvl w:val="0"/>
          <w:numId w:val="14"/>
        </w:numPr>
        <w:spacing w:before="150" w:beforeAutospacing="0" w:after="0" w:afterAutospacing="0"/>
        <w:rPr>
          <w:rFonts w:asciiTheme="majorBidi" w:hAnsiTheme="majorBidi" w:cstheme="majorBidi"/>
        </w:rPr>
      </w:pPr>
      <w:r w:rsidRPr="00602606">
        <w:rPr>
          <w:rFonts w:asciiTheme="majorBidi" w:eastAsiaTheme="minorEastAsia" w:hAnsiTheme="majorBidi" w:cstheme="majorBidi"/>
          <w:color w:val="000000" w:themeColor="text1"/>
          <w:kern w:val="24"/>
        </w:rPr>
        <w:t>à un acte chirurgicale dans le cas des infections localisées (adénopathies, atteintes cutanées) chez le sujet jeune et sans affection sous-jacente</w:t>
      </w:r>
    </w:p>
    <w:p w:rsidR="001E543F" w:rsidRPr="001E543F" w:rsidRDefault="004B1EEB" w:rsidP="001E543F">
      <w:pPr>
        <w:pStyle w:val="NormalWeb"/>
        <w:numPr>
          <w:ilvl w:val="0"/>
          <w:numId w:val="14"/>
        </w:numPr>
        <w:spacing w:before="150" w:beforeAutospacing="0" w:after="0" w:afterAutospacing="0"/>
        <w:rPr>
          <w:rFonts w:asciiTheme="majorBidi" w:eastAsiaTheme="minorEastAsia" w:hAnsiTheme="majorBidi" w:cstheme="majorBidi"/>
          <w:color w:val="000000" w:themeColor="text1"/>
          <w:kern w:val="24"/>
        </w:rPr>
      </w:pPr>
      <w:r w:rsidRPr="00235BB3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à une antibiothérapie, </w:t>
      </w:r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les ATB actifs</w:t>
      </w:r>
      <w:r w:rsidR="001E543F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</w:t>
      </w:r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: l’</w:t>
      </w:r>
      <w:proofErr w:type="spellStart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azithromycine</w:t>
      </w:r>
      <w:proofErr w:type="spellEnd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et la </w:t>
      </w:r>
      <w:proofErr w:type="spellStart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clarithromycine</w:t>
      </w:r>
      <w:proofErr w:type="spellEnd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, la rifampicine et la </w:t>
      </w:r>
      <w:proofErr w:type="spellStart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rifabutine</w:t>
      </w:r>
      <w:proofErr w:type="spellEnd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, l’</w:t>
      </w:r>
      <w:proofErr w:type="spellStart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ethambutol</w:t>
      </w:r>
      <w:proofErr w:type="spellEnd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, l’isoniazide, l’</w:t>
      </w:r>
      <w:proofErr w:type="spellStart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amikacine</w:t>
      </w:r>
      <w:proofErr w:type="spellEnd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, la </w:t>
      </w:r>
      <w:proofErr w:type="spellStart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tobramycine</w:t>
      </w:r>
      <w:proofErr w:type="spellEnd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, la streptomycine, la </w:t>
      </w:r>
      <w:proofErr w:type="spellStart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doxycycline</w:t>
      </w:r>
      <w:proofErr w:type="spellEnd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et la </w:t>
      </w:r>
      <w:proofErr w:type="spellStart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minocycline</w:t>
      </w:r>
      <w:proofErr w:type="spellEnd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, le </w:t>
      </w:r>
      <w:proofErr w:type="spellStart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cotrimoxazole</w:t>
      </w:r>
      <w:proofErr w:type="spellEnd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, la ciprofloxacine et la </w:t>
      </w:r>
      <w:proofErr w:type="spellStart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moxifloxacine</w:t>
      </w:r>
      <w:proofErr w:type="spellEnd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, l’imipenème et la </w:t>
      </w:r>
      <w:proofErr w:type="spellStart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céfoxitine</w:t>
      </w:r>
      <w:proofErr w:type="spellEnd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, la </w:t>
      </w:r>
      <w:proofErr w:type="spellStart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tigécycline</w:t>
      </w:r>
      <w:proofErr w:type="spellEnd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, le </w:t>
      </w:r>
      <w:proofErr w:type="spellStart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linézolide</w:t>
      </w:r>
      <w:proofErr w:type="spellEnd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 et la </w:t>
      </w:r>
      <w:proofErr w:type="spellStart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clofazimine</w:t>
      </w:r>
      <w:proofErr w:type="spellEnd"/>
      <w:r w:rsidR="001E543F"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. </w:t>
      </w:r>
    </w:p>
    <w:p w:rsidR="00000000" w:rsidRDefault="00E533BC" w:rsidP="001E543F">
      <w:pPr>
        <w:pStyle w:val="NormalWeb"/>
        <w:numPr>
          <w:ilvl w:val="0"/>
          <w:numId w:val="21"/>
        </w:numPr>
        <w:rPr>
          <w:rFonts w:asciiTheme="majorBidi" w:eastAsiaTheme="minorEastAsia" w:hAnsiTheme="majorBidi" w:cstheme="majorBidi"/>
          <w:color w:val="000000" w:themeColor="text1"/>
          <w:kern w:val="24"/>
        </w:rPr>
      </w:pPr>
      <w:r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L</w:t>
      </w:r>
      <w:r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>e choix des ATB dépend de l’espèce en cause d’où l’intérêt d’une identification précise de l’espèce de mycobactérie responsable,</w:t>
      </w:r>
    </w:p>
    <w:p w:rsidR="009F411F" w:rsidRPr="001E543F" w:rsidRDefault="00E533BC" w:rsidP="001E543F">
      <w:pPr>
        <w:pStyle w:val="NormalWeb"/>
        <w:numPr>
          <w:ilvl w:val="0"/>
          <w:numId w:val="21"/>
        </w:numPr>
        <w:spacing w:line="276" w:lineRule="auto"/>
        <w:rPr>
          <w:rFonts w:asciiTheme="majorBidi" w:eastAsiaTheme="minorEastAsia" w:hAnsiTheme="majorBidi" w:cstheme="majorBidi"/>
          <w:color w:val="000000" w:themeColor="text1"/>
          <w:kern w:val="24"/>
        </w:rPr>
      </w:pPr>
      <w:r w:rsidRPr="001E543F">
        <w:rPr>
          <w:rFonts w:asciiTheme="majorBidi" w:eastAsiaTheme="minorEastAsia" w:hAnsiTheme="majorBidi" w:cstheme="majorBidi"/>
          <w:color w:val="000000" w:themeColor="text1"/>
          <w:kern w:val="24"/>
        </w:rPr>
        <w:t xml:space="preserve">La durée de l’antibiothérapie est longue. </w:t>
      </w:r>
    </w:p>
    <w:sectPr w:rsidR="009F411F" w:rsidRPr="001E543F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3BC" w:rsidRDefault="00E533BC" w:rsidP="001E543F">
      <w:pPr>
        <w:spacing w:after="0" w:line="240" w:lineRule="auto"/>
      </w:pPr>
      <w:r>
        <w:separator/>
      </w:r>
    </w:p>
  </w:endnote>
  <w:endnote w:type="continuationSeparator" w:id="0">
    <w:p w:rsidR="00E533BC" w:rsidRDefault="00E533BC" w:rsidP="001E5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38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9083069"/>
      <w:docPartObj>
        <w:docPartGallery w:val="Page Numbers (Bottom of Page)"/>
        <w:docPartUnique/>
      </w:docPartObj>
    </w:sdtPr>
    <w:sdtContent>
      <w:p w:rsidR="001E543F" w:rsidRDefault="001E543F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1E543F" w:rsidRDefault="001E543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3BC" w:rsidRDefault="00E533BC" w:rsidP="001E543F">
      <w:pPr>
        <w:spacing w:after="0" w:line="240" w:lineRule="auto"/>
      </w:pPr>
      <w:r>
        <w:separator/>
      </w:r>
    </w:p>
  </w:footnote>
  <w:footnote w:type="continuationSeparator" w:id="0">
    <w:p w:rsidR="00E533BC" w:rsidRDefault="00E533BC" w:rsidP="001E54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67D8F"/>
    <w:multiLevelType w:val="hybridMultilevel"/>
    <w:tmpl w:val="4558CA6E"/>
    <w:lvl w:ilvl="0" w:tplc="6ADA9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AC38AC">
      <w:start w:val="7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346A60">
      <w:start w:val="7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4A8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0A9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268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0CA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EE2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867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2A7D93"/>
    <w:multiLevelType w:val="hybridMultilevel"/>
    <w:tmpl w:val="68A88A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24A01"/>
    <w:multiLevelType w:val="hybridMultilevel"/>
    <w:tmpl w:val="7AA46966"/>
    <w:lvl w:ilvl="0" w:tplc="F5BE0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1CA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3ED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B40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84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6CBE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6F0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AE9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7CF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AAA5D89"/>
    <w:multiLevelType w:val="hybridMultilevel"/>
    <w:tmpl w:val="1F541DDA"/>
    <w:lvl w:ilvl="0" w:tplc="BC6606F2">
      <w:start w:val="1"/>
      <w:numFmt w:val="upperRoman"/>
      <w:lvlText w:val="%1."/>
      <w:lvlJc w:val="right"/>
      <w:pPr>
        <w:ind w:left="720" w:hanging="360"/>
      </w:pPr>
      <w:rPr>
        <w:b/>
        <w:bCs/>
        <w:color w:val="FF0000"/>
        <w:sz w:val="28"/>
        <w:szCs w:val="28"/>
      </w:rPr>
    </w:lvl>
    <w:lvl w:ilvl="1" w:tplc="57548C72">
      <w:start w:val="1"/>
      <w:numFmt w:val="decimal"/>
      <w:lvlText w:val="%2."/>
      <w:lvlJc w:val="left"/>
      <w:pPr>
        <w:ind w:left="1440" w:hanging="360"/>
      </w:pPr>
      <w:rPr>
        <w:rFonts w:eastAsiaTheme="minorEastAsia" w:hint="default"/>
        <w:b/>
        <w:color w:val="0070C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F2780"/>
    <w:multiLevelType w:val="hybridMultilevel"/>
    <w:tmpl w:val="175ED0E2"/>
    <w:lvl w:ilvl="0" w:tplc="13FAB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DE5FEA">
      <w:start w:val="7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7CF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EA3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41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10F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5817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1AB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8EB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7694487"/>
    <w:multiLevelType w:val="hybridMultilevel"/>
    <w:tmpl w:val="80EC5C64"/>
    <w:lvl w:ilvl="0" w:tplc="CAC2F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42F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8BE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685F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1AF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788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069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5E8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EA79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0394F7E"/>
    <w:multiLevelType w:val="hybridMultilevel"/>
    <w:tmpl w:val="A46A16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A3776"/>
    <w:multiLevelType w:val="hybridMultilevel"/>
    <w:tmpl w:val="C792A9E6"/>
    <w:lvl w:ilvl="0" w:tplc="63DE99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0C24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CE20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28C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6E6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E6D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24D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181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FE1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5D101C0"/>
    <w:multiLevelType w:val="hybridMultilevel"/>
    <w:tmpl w:val="7CCC379E"/>
    <w:lvl w:ilvl="0" w:tplc="1BD2C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3CC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863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B2F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DC3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6A9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1469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AA5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509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1320E84"/>
    <w:multiLevelType w:val="hybridMultilevel"/>
    <w:tmpl w:val="42F41CAA"/>
    <w:lvl w:ilvl="0" w:tplc="0C6278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0A76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AE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4806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8C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6EA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22E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063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56F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4F43FFA"/>
    <w:multiLevelType w:val="hybridMultilevel"/>
    <w:tmpl w:val="29D2EB16"/>
    <w:lvl w:ilvl="0" w:tplc="5FC80F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58D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427D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3E2D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CA0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766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425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B88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A68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5024217"/>
    <w:multiLevelType w:val="hybridMultilevel"/>
    <w:tmpl w:val="58F89158"/>
    <w:lvl w:ilvl="0" w:tplc="63FAF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8010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721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44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746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AC7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7042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DC3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24E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0BA5453"/>
    <w:multiLevelType w:val="hybridMultilevel"/>
    <w:tmpl w:val="829C220E"/>
    <w:lvl w:ilvl="0" w:tplc="D2E058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1A3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3A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462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E85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9A1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AA9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7899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486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6295D29"/>
    <w:multiLevelType w:val="hybridMultilevel"/>
    <w:tmpl w:val="9BAA7112"/>
    <w:lvl w:ilvl="0" w:tplc="F1FE2FB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72CE11A">
      <w:start w:val="1"/>
      <w:numFmt w:val="upperRoman"/>
      <w:lvlText w:val="%2."/>
      <w:lvlJc w:val="left"/>
      <w:pPr>
        <w:ind w:left="1800" w:hanging="720"/>
      </w:pPr>
      <w:rPr>
        <w:rFonts w:eastAsiaTheme="minorEastAsia" w:hint="default"/>
        <w:b/>
        <w:color w:val="FF000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E4568E"/>
    <w:multiLevelType w:val="hybridMultilevel"/>
    <w:tmpl w:val="E80814D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162670A"/>
    <w:multiLevelType w:val="hybridMultilevel"/>
    <w:tmpl w:val="7E562A52"/>
    <w:lvl w:ilvl="0" w:tplc="FF9234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F4B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B68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C0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F03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26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4EE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FE6F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EAD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6653222"/>
    <w:multiLevelType w:val="hybridMultilevel"/>
    <w:tmpl w:val="F7702282"/>
    <w:lvl w:ilvl="0" w:tplc="6ADA9FE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A2024A"/>
    <w:multiLevelType w:val="hybridMultilevel"/>
    <w:tmpl w:val="C3AA032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C670E3"/>
    <w:multiLevelType w:val="hybridMultilevel"/>
    <w:tmpl w:val="FE908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3C014A"/>
    <w:multiLevelType w:val="hybridMultilevel"/>
    <w:tmpl w:val="5CC68C94"/>
    <w:lvl w:ilvl="0" w:tplc="F1FE2FB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5074EE"/>
    <w:multiLevelType w:val="hybridMultilevel"/>
    <w:tmpl w:val="633EC50E"/>
    <w:lvl w:ilvl="0" w:tplc="2CBA62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F84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4214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A82C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66C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504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E46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2E0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D631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BBE6F38"/>
    <w:multiLevelType w:val="hybridMultilevel"/>
    <w:tmpl w:val="1B4693C4"/>
    <w:lvl w:ilvl="0" w:tplc="4B5A41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A8E3D6">
      <w:start w:val="7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4484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D4D2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40B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524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083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6E1E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AC23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7"/>
  </w:num>
  <w:num w:numId="5">
    <w:abstractNumId w:val="4"/>
  </w:num>
  <w:num w:numId="6">
    <w:abstractNumId w:val="2"/>
  </w:num>
  <w:num w:numId="7">
    <w:abstractNumId w:val="21"/>
  </w:num>
  <w:num w:numId="8">
    <w:abstractNumId w:val="12"/>
  </w:num>
  <w:num w:numId="9">
    <w:abstractNumId w:val="5"/>
  </w:num>
  <w:num w:numId="10">
    <w:abstractNumId w:val="3"/>
  </w:num>
  <w:num w:numId="11">
    <w:abstractNumId w:val="18"/>
  </w:num>
  <w:num w:numId="12">
    <w:abstractNumId w:val="1"/>
  </w:num>
  <w:num w:numId="13">
    <w:abstractNumId w:val="14"/>
  </w:num>
  <w:num w:numId="14">
    <w:abstractNumId w:val="17"/>
  </w:num>
  <w:num w:numId="15">
    <w:abstractNumId w:val="19"/>
  </w:num>
  <w:num w:numId="16">
    <w:abstractNumId w:val="13"/>
  </w:num>
  <w:num w:numId="17">
    <w:abstractNumId w:val="6"/>
  </w:num>
  <w:num w:numId="18">
    <w:abstractNumId w:val="10"/>
  </w:num>
  <w:num w:numId="19">
    <w:abstractNumId w:val="8"/>
  </w:num>
  <w:num w:numId="20">
    <w:abstractNumId w:val="20"/>
  </w:num>
  <w:num w:numId="21">
    <w:abstractNumId w:val="1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EEB"/>
    <w:rsid w:val="001E543F"/>
    <w:rsid w:val="004B1EEB"/>
    <w:rsid w:val="004F4ABB"/>
    <w:rsid w:val="00896AC4"/>
    <w:rsid w:val="009F411F"/>
    <w:rsid w:val="00D304FE"/>
    <w:rsid w:val="00DC51B7"/>
    <w:rsid w:val="00E533BC"/>
    <w:rsid w:val="00E9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894C765-2436-4B4A-B37A-09494A7A5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EEB"/>
    <w:pPr>
      <w:spacing w:line="254" w:lineRule="auto"/>
    </w:p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1E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4B1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4B1E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E5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543F"/>
  </w:style>
  <w:style w:type="paragraph" w:styleId="Pieddepage">
    <w:name w:val="footer"/>
    <w:basedOn w:val="Normal"/>
    <w:link w:val="PieddepageCar"/>
    <w:uiPriority w:val="99"/>
    <w:unhideWhenUsed/>
    <w:rsid w:val="001E5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54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55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0008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53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48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094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330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1479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2020-02-16T06:59:00Z</dcterms:created>
  <dcterms:modified xsi:type="dcterms:W3CDTF">2022-03-13T18:49:00Z</dcterms:modified>
</cp:coreProperties>
</file>